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A50" w:rsidRPr="00D04635" w:rsidRDefault="00D04635" w:rsidP="00D04635">
      <w:pPr>
        <w:spacing w:line="360" w:lineRule="auto"/>
        <w:jc w:val="both"/>
        <w:rPr>
          <w:rFonts w:ascii="Times New Roman" w:hAnsi="Times New Roman" w:cs="Times New Roman"/>
          <w:b/>
          <w:sz w:val="24"/>
          <w:szCs w:val="24"/>
          <w:lang w:val="es-MX"/>
        </w:rPr>
      </w:pPr>
      <w:r w:rsidRPr="00D04635">
        <w:rPr>
          <w:rFonts w:ascii="Times New Roman" w:hAnsi="Times New Roman" w:cs="Times New Roman"/>
          <w:b/>
          <w:sz w:val="24"/>
          <w:szCs w:val="24"/>
          <w:lang w:val="es-MX"/>
        </w:rPr>
        <w:t>Título</w:t>
      </w:r>
    </w:p>
    <w:p w:rsidR="007F1A50" w:rsidRPr="002C2D94" w:rsidRDefault="007F1A50" w:rsidP="00D04635">
      <w:pPr>
        <w:spacing w:line="360" w:lineRule="auto"/>
        <w:jc w:val="both"/>
        <w:rPr>
          <w:rFonts w:ascii="Times New Roman" w:hAnsi="Times New Roman" w:cs="Times New Roman"/>
          <w:sz w:val="24"/>
          <w:szCs w:val="24"/>
          <w:lang w:val="es-ES"/>
        </w:rPr>
      </w:pPr>
      <w:r w:rsidRPr="002C2D94">
        <w:rPr>
          <w:rFonts w:ascii="Times New Roman" w:hAnsi="Times New Roman" w:cs="Times New Roman"/>
          <w:sz w:val="24"/>
          <w:szCs w:val="24"/>
          <w:lang w:val="es-ES"/>
        </w:rPr>
        <w:t xml:space="preserve">Evaluación de las Instituciones Financieras de la Economía Popular y Solidaria a través de la instrumentalización del Balance Social: Estudio de caso </w:t>
      </w:r>
    </w:p>
    <w:p w:rsidR="006A0151" w:rsidRPr="002C2D94" w:rsidRDefault="006A0151" w:rsidP="00D04635">
      <w:pPr>
        <w:spacing w:line="360" w:lineRule="auto"/>
        <w:jc w:val="both"/>
        <w:rPr>
          <w:rFonts w:ascii="Times New Roman" w:hAnsi="Times New Roman" w:cs="Times New Roman"/>
          <w:sz w:val="24"/>
          <w:szCs w:val="24"/>
          <w:lang w:val="es-ES"/>
        </w:rPr>
      </w:pPr>
      <w:r w:rsidRPr="002C2D94">
        <w:rPr>
          <w:rFonts w:ascii="Times New Roman" w:hAnsi="Times New Roman" w:cs="Times New Roman"/>
          <w:sz w:val="24"/>
          <w:szCs w:val="24"/>
          <w:lang w:val="es-ES"/>
        </w:rPr>
        <w:t>Fabián Armando Cajas Guerrero</w:t>
      </w:r>
    </w:p>
    <w:p w:rsidR="006B456B" w:rsidRPr="002C2D94" w:rsidRDefault="006B456B" w:rsidP="00D04635">
      <w:pPr>
        <w:pStyle w:val="Pa21"/>
        <w:spacing w:after="40" w:line="360" w:lineRule="auto"/>
        <w:jc w:val="both"/>
        <w:rPr>
          <w:rFonts w:ascii="Times New Roman" w:hAnsi="Times New Roman" w:cs="Times New Roman"/>
        </w:rPr>
      </w:pPr>
      <w:r w:rsidRPr="002C2D94">
        <w:rPr>
          <w:rFonts w:ascii="Times New Roman" w:hAnsi="Times New Roman" w:cs="Times New Roman"/>
        </w:rPr>
        <w:t xml:space="preserve">Docente, </w:t>
      </w:r>
      <w:r w:rsidRPr="002C2D94">
        <w:rPr>
          <w:rStyle w:val="A9"/>
          <w:sz w:val="24"/>
          <w:szCs w:val="24"/>
        </w:rPr>
        <w:t>Universidad Politécnica Salesiana</w:t>
      </w:r>
    </w:p>
    <w:p w:rsidR="006B456B" w:rsidRPr="002C2D94" w:rsidRDefault="00B30CD2" w:rsidP="00D04635">
      <w:pPr>
        <w:pStyle w:val="Pa21"/>
        <w:spacing w:after="40" w:line="360" w:lineRule="auto"/>
        <w:jc w:val="both"/>
        <w:rPr>
          <w:rStyle w:val="Hipervnculo"/>
          <w:rFonts w:ascii="Times New Roman" w:hAnsi="Times New Roman" w:cs="Times New Roman"/>
          <w:color w:val="auto"/>
          <w:u w:val="none"/>
        </w:rPr>
      </w:pPr>
      <w:hyperlink r:id="rId6" w:history="1">
        <w:r w:rsidR="006B456B" w:rsidRPr="002C2D94">
          <w:rPr>
            <w:rStyle w:val="Hipervnculo"/>
            <w:rFonts w:ascii="Times New Roman" w:hAnsi="Times New Roman" w:cs="Times New Roman"/>
          </w:rPr>
          <w:t>fcajasg@ups.edu.ec</w:t>
        </w:r>
      </w:hyperlink>
    </w:p>
    <w:p w:rsidR="006A0151" w:rsidRPr="002C2D94" w:rsidRDefault="006B456B" w:rsidP="00D04635">
      <w:pPr>
        <w:spacing w:line="360" w:lineRule="auto"/>
        <w:jc w:val="both"/>
        <w:rPr>
          <w:rFonts w:ascii="Times New Roman" w:hAnsi="Times New Roman" w:cs="Times New Roman"/>
          <w:sz w:val="24"/>
          <w:szCs w:val="24"/>
          <w:lang w:val="es-ES"/>
        </w:rPr>
      </w:pPr>
      <w:r w:rsidRPr="002C2D94">
        <w:rPr>
          <w:rFonts w:ascii="Times New Roman" w:hAnsi="Times New Roman" w:cs="Times New Roman"/>
          <w:sz w:val="24"/>
          <w:szCs w:val="24"/>
          <w:lang w:val="es-ES"/>
        </w:rPr>
        <w:t xml:space="preserve"> </w:t>
      </w:r>
      <w:r w:rsidR="006A0151" w:rsidRPr="002C2D94">
        <w:rPr>
          <w:rFonts w:ascii="Times New Roman" w:hAnsi="Times New Roman" w:cs="Times New Roman"/>
          <w:sz w:val="24"/>
          <w:szCs w:val="24"/>
          <w:lang w:val="es-ES"/>
        </w:rPr>
        <w:t>Alberto Xavier Oña Serrano</w:t>
      </w:r>
    </w:p>
    <w:p w:rsidR="006B456B" w:rsidRPr="002C2D94" w:rsidRDefault="006B456B" w:rsidP="00D04635">
      <w:pPr>
        <w:pStyle w:val="Pa21"/>
        <w:spacing w:after="40" w:line="360" w:lineRule="auto"/>
        <w:jc w:val="both"/>
        <w:rPr>
          <w:rFonts w:ascii="Times New Roman" w:hAnsi="Times New Roman" w:cs="Times New Roman"/>
        </w:rPr>
      </w:pPr>
      <w:r w:rsidRPr="002C2D94">
        <w:rPr>
          <w:rFonts w:ascii="Times New Roman" w:hAnsi="Times New Roman" w:cs="Times New Roman"/>
        </w:rPr>
        <w:t xml:space="preserve">Docente-investigador, </w:t>
      </w:r>
      <w:r w:rsidRPr="002C2D94">
        <w:rPr>
          <w:rStyle w:val="A9"/>
          <w:sz w:val="24"/>
          <w:szCs w:val="24"/>
        </w:rPr>
        <w:t xml:space="preserve">Escuela Politécnica Nacional </w:t>
      </w:r>
    </w:p>
    <w:p w:rsidR="006B456B" w:rsidRPr="002C2D94" w:rsidRDefault="00B30CD2" w:rsidP="00D04635">
      <w:pPr>
        <w:pStyle w:val="Pa21"/>
        <w:spacing w:after="40" w:line="360" w:lineRule="auto"/>
        <w:jc w:val="both"/>
        <w:rPr>
          <w:rStyle w:val="Hipervnculo"/>
          <w:rFonts w:ascii="Times New Roman" w:hAnsi="Times New Roman" w:cs="Times New Roman"/>
        </w:rPr>
      </w:pPr>
      <w:hyperlink r:id="rId7" w:history="1">
        <w:r w:rsidR="006B456B" w:rsidRPr="002C2D94">
          <w:rPr>
            <w:rStyle w:val="Hipervnculo"/>
            <w:rFonts w:ascii="Times New Roman" w:hAnsi="Times New Roman" w:cs="Times New Roman"/>
          </w:rPr>
          <w:t>xavier.ona@epn.edu.ec</w:t>
        </w:r>
      </w:hyperlink>
    </w:p>
    <w:p w:rsidR="006A0151" w:rsidRPr="002C2D94" w:rsidRDefault="006A0151" w:rsidP="00D04635">
      <w:pPr>
        <w:spacing w:line="360" w:lineRule="auto"/>
        <w:jc w:val="both"/>
        <w:rPr>
          <w:rFonts w:ascii="Times New Roman" w:hAnsi="Times New Roman" w:cs="Times New Roman"/>
          <w:sz w:val="24"/>
          <w:szCs w:val="24"/>
          <w:lang w:val="es-ES"/>
        </w:rPr>
      </w:pPr>
      <w:r w:rsidRPr="002C2D94">
        <w:rPr>
          <w:rFonts w:ascii="Times New Roman" w:hAnsi="Times New Roman" w:cs="Times New Roman"/>
          <w:sz w:val="24"/>
          <w:szCs w:val="24"/>
          <w:lang w:val="es-ES"/>
        </w:rPr>
        <w:t>Odette Pantoja Díaz</w:t>
      </w:r>
    </w:p>
    <w:p w:rsidR="006B456B" w:rsidRPr="002C2D94" w:rsidRDefault="00DA1ADE" w:rsidP="00D04635">
      <w:pPr>
        <w:pStyle w:val="Pa21"/>
        <w:spacing w:after="40" w:line="360" w:lineRule="auto"/>
        <w:jc w:val="both"/>
        <w:rPr>
          <w:rFonts w:ascii="Times New Roman" w:hAnsi="Times New Roman" w:cs="Times New Roman"/>
        </w:rPr>
      </w:pPr>
      <w:r w:rsidRPr="002C2D94">
        <w:rPr>
          <w:rFonts w:ascii="Times New Roman" w:hAnsi="Times New Roman" w:cs="Times New Roman"/>
        </w:rPr>
        <w:t>Doctorand</w:t>
      </w:r>
      <w:r w:rsidR="002C2D94">
        <w:rPr>
          <w:rFonts w:ascii="Times New Roman" w:hAnsi="Times New Roman" w:cs="Times New Roman"/>
        </w:rPr>
        <w:t>a</w:t>
      </w:r>
      <w:r w:rsidRPr="002C2D94">
        <w:rPr>
          <w:rFonts w:ascii="Times New Roman" w:hAnsi="Times New Roman" w:cs="Times New Roman"/>
        </w:rPr>
        <w:t xml:space="preserve"> Universidad</w:t>
      </w:r>
      <w:r w:rsidR="006B456B" w:rsidRPr="002C2D94">
        <w:rPr>
          <w:rStyle w:val="A9"/>
          <w:sz w:val="24"/>
          <w:szCs w:val="24"/>
        </w:rPr>
        <w:t xml:space="preserve"> Politécnica </w:t>
      </w:r>
      <w:r w:rsidRPr="002C2D94">
        <w:rPr>
          <w:rStyle w:val="A9"/>
          <w:sz w:val="24"/>
          <w:szCs w:val="24"/>
        </w:rPr>
        <w:t>de Valencia</w:t>
      </w:r>
      <w:r w:rsidR="006B456B" w:rsidRPr="002C2D94">
        <w:rPr>
          <w:rStyle w:val="A9"/>
          <w:sz w:val="24"/>
          <w:szCs w:val="24"/>
        </w:rPr>
        <w:t xml:space="preserve"> </w:t>
      </w:r>
    </w:p>
    <w:p w:rsidR="006B456B" w:rsidRDefault="00B30CD2" w:rsidP="00D04635">
      <w:pPr>
        <w:spacing w:line="360" w:lineRule="auto"/>
        <w:jc w:val="both"/>
        <w:rPr>
          <w:rFonts w:ascii="Times New Roman" w:hAnsi="Times New Roman" w:cs="Times New Roman"/>
          <w:sz w:val="24"/>
          <w:szCs w:val="24"/>
          <w:lang w:val="es-ES"/>
        </w:rPr>
      </w:pPr>
      <w:hyperlink r:id="rId8" w:history="1">
        <w:r w:rsidR="002C2D94" w:rsidRPr="0040780E">
          <w:rPr>
            <w:rStyle w:val="Hipervnculo"/>
            <w:rFonts w:ascii="Times New Roman" w:hAnsi="Times New Roman" w:cs="Times New Roman"/>
            <w:sz w:val="24"/>
            <w:szCs w:val="24"/>
            <w:lang w:val="es-ES"/>
          </w:rPr>
          <w:t>odettepantoja1980@gmail.com</w:t>
        </w:r>
      </w:hyperlink>
    </w:p>
    <w:p w:rsidR="007F1A50" w:rsidRPr="00D04635" w:rsidRDefault="007F1A50" w:rsidP="00D04635">
      <w:pPr>
        <w:spacing w:line="360" w:lineRule="auto"/>
        <w:jc w:val="both"/>
        <w:rPr>
          <w:rFonts w:ascii="Times New Roman" w:hAnsi="Times New Roman" w:cs="Times New Roman"/>
          <w:b/>
          <w:sz w:val="24"/>
          <w:szCs w:val="24"/>
          <w:lang w:val="es-ES"/>
        </w:rPr>
      </w:pPr>
      <w:r w:rsidRPr="00D04635">
        <w:rPr>
          <w:rFonts w:ascii="Times New Roman" w:hAnsi="Times New Roman" w:cs="Times New Roman"/>
          <w:b/>
          <w:sz w:val="24"/>
          <w:szCs w:val="24"/>
          <w:lang w:val="es-ES"/>
        </w:rPr>
        <w:t>Resumen</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 xml:space="preserve">La Responsabilidad Social Corporativa (RSC) evidencia actualmente el compromiso ético que tienen las organizaciones frente a todos sus grupos de interés a través de la rendición de cuentas de su gestión social, en este sentido, la transparencia como elemento de una adecuada RSC asegura un mejor clima laboral, esto sin duda, manifiesta la necesidad que tienen las entidades de involucrar este modelo de gestión como parte de su estrategia empresarial. En este contexto, la RSC toma en consideración las implicaciones sociales y medioambientales de sus actuaciones, además considera como objetivo estratégico la creación de valor para todos sus grupos de interés, entre los que se encuentran sus directivos, socios, trabajadores, clientes, proveedores y sociedad en general. Para la adecuada evaluación de la RSC existe una herramienta de gestión denominada Balance Social (BS), documento público </w:t>
      </w:r>
      <w:r w:rsidR="002C6CFE">
        <w:rPr>
          <w:rFonts w:ascii="Times New Roman" w:hAnsi="Times New Roman" w:cs="Times New Roman"/>
          <w:sz w:val="24"/>
          <w:szCs w:val="24"/>
          <w:lang w:val="es-ES"/>
        </w:rPr>
        <w:t>asociado</w:t>
      </w:r>
      <w:r w:rsidRPr="002E3460">
        <w:rPr>
          <w:rFonts w:ascii="Times New Roman" w:hAnsi="Times New Roman" w:cs="Times New Roman"/>
          <w:sz w:val="24"/>
          <w:szCs w:val="24"/>
          <w:lang w:val="es-ES"/>
        </w:rPr>
        <w:t xml:space="preserve"> </w:t>
      </w:r>
      <w:r w:rsidR="002C6CFE">
        <w:rPr>
          <w:rFonts w:ascii="Times New Roman" w:hAnsi="Times New Roman" w:cs="Times New Roman"/>
          <w:sz w:val="24"/>
          <w:szCs w:val="24"/>
          <w:lang w:val="es-ES"/>
        </w:rPr>
        <w:t xml:space="preserve">con </w:t>
      </w:r>
      <w:r w:rsidRPr="002E3460">
        <w:rPr>
          <w:rFonts w:ascii="Times New Roman" w:hAnsi="Times New Roman" w:cs="Times New Roman"/>
          <w:sz w:val="24"/>
          <w:szCs w:val="24"/>
          <w:lang w:val="es-ES"/>
        </w:rPr>
        <w:t xml:space="preserve">la información del desempeño social </w:t>
      </w:r>
      <w:r w:rsidR="002C6CFE">
        <w:rPr>
          <w:rFonts w:ascii="Times New Roman" w:hAnsi="Times New Roman" w:cs="Times New Roman"/>
          <w:sz w:val="24"/>
          <w:szCs w:val="24"/>
          <w:lang w:val="es-ES"/>
        </w:rPr>
        <w:t>que</w:t>
      </w:r>
      <w:r w:rsidRPr="002E3460">
        <w:rPr>
          <w:rFonts w:ascii="Times New Roman" w:hAnsi="Times New Roman" w:cs="Times New Roman"/>
          <w:sz w:val="24"/>
          <w:szCs w:val="24"/>
          <w:lang w:val="es-ES"/>
        </w:rPr>
        <w:t xml:space="preserve"> permite medi</w:t>
      </w:r>
      <w:r w:rsidR="002C6CFE">
        <w:rPr>
          <w:rFonts w:ascii="Times New Roman" w:hAnsi="Times New Roman" w:cs="Times New Roman"/>
          <w:sz w:val="24"/>
          <w:szCs w:val="24"/>
          <w:lang w:val="es-ES"/>
        </w:rPr>
        <w:t>r</w:t>
      </w:r>
      <w:r w:rsidRPr="002E3460">
        <w:rPr>
          <w:rFonts w:ascii="Times New Roman" w:hAnsi="Times New Roman" w:cs="Times New Roman"/>
          <w:sz w:val="24"/>
          <w:szCs w:val="24"/>
          <w:lang w:val="es-ES"/>
        </w:rPr>
        <w:t xml:space="preserve"> y evalua</w:t>
      </w:r>
      <w:r w:rsidR="002C6CFE">
        <w:rPr>
          <w:rFonts w:ascii="Times New Roman" w:hAnsi="Times New Roman" w:cs="Times New Roman"/>
          <w:sz w:val="24"/>
          <w:szCs w:val="24"/>
          <w:lang w:val="es-ES"/>
        </w:rPr>
        <w:t>r</w:t>
      </w:r>
      <w:r w:rsidRPr="002E3460">
        <w:rPr>
          <w:rFonts w:ascii="Times New Roman" w:hAnsi="Times New Roman" w:cs="Times New Roman"/>
          <w:sz w:val="24"/>
          <w:szCs w:val="24"/>
          <w:lang w:val="es-ES"/>
        </w:rPr>
        <w:t xml:space="preserve"> el nivel alcanzado en un período, </w:t>
      </w:r>
      <w:r w:rsidR="00D04635">
        <w:rPr>
          <w:rFonts w:ascii="Times New Roman" w:hAnsi="Times New Roman" w:cs="Times New Roman"/>
          <w:sz w:val="24"/>
          <w:szCs w:val="24"/>
          <w:lang w:val="es-ES"/>
        </w:rPr>
        <w:t>por medio</w:t>
      </w:r>
      <w:r w:rsidR="002C6CFE">
        <w:rPr>
          <w:rFonts w:ascii="Times New Roman" w:hAnsi="Times New Roman" w:cs="Times New Roman"/>
          <w:sz w:val="24"/>
          <w:szCs w:val="24"/>
          <w:lang w:val="es-ES"/>
        </w:rPr>
        <w:t xml:space="preserve"> de</w:t>
      </w:r>
      <w:r w:rsidRPr="002E3460">
        <w:rPr>
          <w:rFonts w:ascii="Times New Roman" w:hAnsi="Times New Roman" w:cs="Times New Roman"/>
          <w:sz w:val="24"/>
          <w:szCs w:val="24"/>
          <w:lang w:val="es-ES"/>
        </w:rPr>
        <w:t xml:space="preserve"> indicadores cualitativos y cuantitativos. La metodología de BS utilizado en est</w:t>
      </w:r>
      <w:r w:rsidR="00D04635">
        <w:rPr>
          <w:rFonts w:ascii="Times New Roman" w:hAnsi="Times New Roman" w:cs="Times New Roman"/>
          <w:sz w:val="24"/>
          <w:szCs w:val="24"/>
          <w:lang w:val="es-ES"/>
        </w:rPr>
        <w:t>a investigación</w:t>
      </w:r>
      <w:r w:rsidRPr="002E3460">
        <w:rPr>
          <w:rFonts w:ascii="Times New Roman" w:hAnsi="Times New Roman" w:cs="Times New Roman"/>
          <w:sz w:val="24"/>
          <w:szCs w:val="24"/>
          <w:lang w:val="es-ES"/>
        </w:rPr>
        <w:t xml:space="preserve"> verifica el cumplimiento de los siete principios cooperativos</w:t>
      </w:r>
      <w:r w:rsidR="00D04635">
        <w:rPr>
          <w:rFonts w:ascii="Times New Roman" w:hAnsi="Times New Roman" w:cs="Times New Roman"/>
          <w:sz w:val="24"/>
          <w:szCs w:val="24"/>
          <w:lang w:val="es-ES"/>
        </w:rPr>
        <w:t xml:space="preserve"> establecidos por la Alianza Cooperativa Internacional (ACI)</w:t>
      </w:r>
      <w:r w:rsidRPr="002E3460">
        <w:rPr>
          <w:rFonts w:ascii="Times New Roman" w:hAnsi="Times New Roman" w:cs="Times New Roman"/>
          <w:sz w:val="24"/>
          <w:szCs w:val="24"/>
          <w:lang w:val="es-ES"/>
        </w:rPr>
        <w:t xml:space="preserve"> y se apoya en los análisis de las </w:t>
      </w:r>
      <w:r w:rsidRPr="002E3460">
        <w:rPr>
          <w:rFonts w:ascii="Times New Roman" w:hAnsi="Times New Roman" w:cs="Times New Roman"/>
          <w:sz w:val="24"/>
          <w:szCs w:val="24"/>
          <w:lang w:val="es-ES"/>
        </w:rPr>
        <w:lastRenderedPageBreak/>
        <w:t>Macrodimensiones y Dimensiones tipificados en el modelo de BS de la Superintendencia de Economía Popular y Solidaria.</w:t>
      </w:r>
    </w:p>
    <w:p w:rsidR="007F1A50" w:rsidRPr="002E3460" w:rsidRDefault="00D04635" w:rsidP="00D04635">
      <w:pPr>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Introducción</w:t>
      </w:r>
    </w:p>
    <w:p w:rsidR="007F1A50" w:rsidRPr="005653B7" w:rsidRDefault="00D04635" w:rsidP="00D04635">
      <w:pPr>
        <w:spacing w:line="360" w:lineRule="auto"/>
        <w:jc w:val="both"/>
        <w:rPr>
          <w:rFonts w:ascii="Times New Roman" w:hAnsi="Times New Roman" w:cs="Times New Roman"/>
          <w:b/>
          <w:sz w:val="24"/>
          <w:szCs w:val="24"/>
          <w:lang w:val="es-ES"/>
        </w:rPr>
      </w:pPr>
      <w:r w:rsidRPr="005653B7">
        <w:rPr>
          <w:rFonts w:ascii="Times New Roman" w:hAnsi="Times New Roman" w:cs="Times New Roman"/>
          <w:b/>
          <w:sz w:val="24"/>
          <w:szCs w:val="24"/>
          <w:lang w:val="es-ES"/>
        </w:rPr>
        <w:t>A</w:t>
      </w:r>
      <w:r w:rsidR="005653B7">
        <w:rPr>
          <w:rFonts w:ascii="Times New Roman" w:hAnsi="Times New Roman" w:cs="Times New Roman"/>
          <w:b/>
          <w:sz w:val="24"/>
          <w:szCs w:val="24"/>
          <w:lang w:val="es-ES"/>
        </w:rPr>
        <w:t>rticulación de la E</w:t>
      </w:r>
      <w:r w:rsidRPr="005653B7">
        <w:rPr>
          <w:rFonts w:ascii="Times New Roman" w:hAnsi="Times New Roman" w:cs="Times New Roman"/>
          <w:b/>
          <w:sz w:val="24"/>
          <w:szCs w:val="24"/>
          <w:lang w:val="es-ES"/>
        </w:rPr>
        <w:t xml:space="preserve">conomía </w:t>
      </w:r>
      <w:r w:rsidR="005653B7">
        <w:rPr>
          <w:rFonts w:ascii="Times New Roman" w:hAnsi="Times New Roman" w:cs="Times New Roman"/>
          <w:b/>
          <w:sz w:val="24"/>
          <w:szCs w:val="24"/>
          <w:lang w:val="es-ES"/>
        </w:rPr>
        <w:t>P</w:t>
      </w:r>
      <w:r w:rsidRPr="005653B7">
        <w:rPr>
          <w:rFonts w:ascii="Times New Roman" w:hAnsi="Times New Roman" w:cs="Times New Roman"/>
          <w:b/>
          <w:sz w:val="24"/>
          <w:szCs w:val="24"/>
          <w:lang w:val="es-ES"/>
        </w:rPr>
        <w:t xml:space="preserve">opular y </w:t>
      </w:r>
      <w:r w:rsidR="005653B7">
        <w:rPr>
          <w:rFonts w:ascii="Times New Roman" w:hAnsi="Times New Roman" w:cs="Times New Roman"/>
          <w:b/>
          <w:sz w:val="24"/>
          <w:szCs w:val="24"/>
          <w:lang w:val="es-ES"/>
        </w:rPr>
        <w:t>Solidaria y el P</w:t>
      </w:r>
      <w:r w:rsidRPr="005653B7">
        <w:rPr>
          <w:rFonts w:ascii="Times New Roman" w:hAnsi="Times New Roman" w:cs="Times New Roman"/>
          <w:b/>
          <w:sz w:val="24"/>
          <w:szCs w:val="24"/>
          <w:lang w:val="es-ES"/>
        </w:rPr>
        <w:t xml:space="preserve">lan </w:t>
      </w:r>
      <w:r w:rsidR="005653B7">
        <w:rPr>
          <w:rFonts w:ascii="Times New Roman" w:hAnsi="Times New Roman" w:cs="Times New Roman"/>
          <w:b/>
          <w:sz w:val="24"/>
          <w:szCs w:val="24"/>
          <w:lang w:val="es-ES"/>
        </w:rPr>
        <w:t>N</w:t>
      </w:r>
      <w:r w:rsidRPr="005653B7">
        <w:rPr>
          <w:rFonts w:ascii="Times New Roman" w:hAnsi="Times New Roman" w:cs="Times New Roman"/>
          <w:b/>
          <w:sz w:val="24"/>
          <w:szCs w:val="24"/>
          <w:lang w:val="es-ES"/>
        </w:rPr>
        <w:t xml:space="preserve">acional del </w:t>
      </w:r>
      <w:r w:rsidR="005653B7">
        <w:rPr>
          <w:rFonts w:ascii="Times New Roman" w:hAnsi="Times New Roman" w:cs="Times New Roman"/>
          <w:b/>
          <w:sz w:val="24"/>
          <w:szCs w:val="24"/>
          <w:lang w:val="es-ES"/>
        </w:rPr>
        <w:t>B</w:t>
      </w:r>
      <w:r w:rsidRPr="005653B7">
        <w:rPr>
          <w:rFonts w:ascii="Times New Roman" w:hAnsi="Times New Roman" w:cs="Times New Roman"/>
          <w:b/>
          <w:sz w:val="24"/>
          <w:szCs w:val="24"/>
          <w:lang w:val="es-ES"/>
        </w:rPr>
        <w:t xml:space="preserve">uen </w:t>
      </w:r>
      <w:r w:rsidR="005653B7">
        <w:rPr>
          <w:rFonts w:ascii="Times New Roman" w:hAnsi="Times New Roman" w:cs="Times New Roman"/>
          <w:b/>
          <w:sz w:val="24"/>
          <w:szCs w:val="24"/>
          <w:lang w:val="es-ES"/>
        </w:rPr>
        <w:t>V</w:t>
      </w:r>
      <w:r w:rsidRPr="005653B7">
        <w:rPr>
          <w:rFonts w:ascii="Times New Roman" w:hAnsi="Times New Roman" w:cs="Times New Roman"/>
          <w:b/>
          <w:sz w:val="24"/>
          <w:szCs w:val="24"/>
          <w:lang w:val="es-ES"/>
        </w:rPr>
        <w:t>ivir</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En el Ecuador, según el Instituto de Economía Popular y Solidaria (IEPS), se considera que el 64% del empleo nacional por subsector económico es generado por la Economía Popular y Solidaria (EPS), además la diversificación de sus productos y derivados es fundamental para potenciar el cambio de la matriz productiva en el país, así como el establecer estrategias para la erradicación de la pobreza como elementos claves para dar cumplimiento al PNBV 2013-2017, por todas las razones indicadas anteriormente es fundamental analizar la participación que tiene el sector de la EPS en el  sistema económico y financiero del Ecuador.</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 xml:space="preserve">Por lo expuesto anteriormente, la EPS es una forma de organización económica en la que sus integrantes, ya sea individual o colectivamente, “organizan y desarrollan procesos de producción, intercambio, comercialización, financiamiento y consumo de bienes y servicios mediante relaciones basadas en la solidaridad, cooperación y reciprocidad, situando al ser humano como sujeto y fin de su actividad” </w:t>
      </w:r>
      <w:r w:rsidR="005653B7">
        <w:rPr>
          <w:rFonts w:ascii="Times New Roman" w:hAnsi="Times New Roman" w:cs="Times New Roman"/>
          <w:noProof/>
          <w:sz w:val="24"/>
          <w:szCs w:val="24"/>
        </w:rPr>
        <w:t>(LOEPS, 2011:</w:t>
      </w:r>
      <w:r w:rsidR="005653B7" w:rsidRPr="002E3460">
        <w:rPr>
          <w:rFonts w:ascii="Times New Roman" w:hAnsi="Times New Roman" w:cs="Times New Roman"/>
          <w:noProof/>
          <w:sz w:val="24"/>
          <w:szCs w:val="24"/>
        </w:rPr>
        <w:t xml:space="preserve"> 4)</w:t>
      </w:r>
      <w:r w:rsidRPr="002E3460">
        <w:rPr>
          <w:rFonts w:ascii="Times New Roman" w:hAnsi="Times New Roman" w:cs="Times New Roman"/>
          <w:sz w:val="24"/>
          <w:szCs w:val="24"/>
          <w:lang w:val="es-ES"/>
        </w:rPr>
        <w:t>.</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Así, aquellas formas de organización se agrupan bajo dos sectores: el real de la EPS (Sector no Financiero) y el SFPS (Sector Financiero). A su vez y de manera transversal, dichas entidades conforman los sectores: cooperativo, asociativo, comunitario y la</w:t>
      </w:r>
      <w:r w:rsidR="005653B7">
        <w:rPr>
          <w:rFonts w:ascii="Times New Roman" w:hAnsi="Times New Roman" w:cs="Times New Roman"/>
          <w:sz w:val="24"/>
          <w:szCs w:val="24"/>
          <w:lang w:val="es-ES"/>
        </w:rPr>
        <w:t>s unidades económicas populares.</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 xml:space="preserve">En el marco de la Economía Social y Solidaria, el Sistema Financiero Popular y Solidario (SFPS) es de trascendental importancia, pues constituye un mecanismo de organización y participación de los actores y sujetos sociales de la Economía Popular Solidaria en el Sistema Financiero. “El desarrollo del SFPS es fruto de un proceso de construcción impulsado por las organizaciones populares en el mundo, rompiendo viejos paradigmas del quehacer financiero” </w:t>
      </w:r>
      <w:r w:rsidR="005653B7" w:rsidRPr="002E3460">
        <w:rPr>
          <w:rFonts w:ascii="Times New Roman" w:hAnsi="Times New Roman" w:cs="Times New Roman"/>
          <w:noProof/>
          <w:sz w:val="24"/>
          <w:szCs w:val="24"/>
        </w:rPr>
        <w:t>(CO</w:t>
      </w:r>
      <w:r w:rsidR="005653B7">
        <w:rPr>
          <w:rFonts w:ascii="Times New Roman" w:hAnsi="Times New Roman" w:cs="Times New Roman"/>
          <w:noProof/>
          <w:sz w:val="24"/>
          <w:szCs w:val="24"/>
        </w:rPr>
        <w:t>NAFIPS, 2012:</w:t>
      </w:r>
      <w:r w:rsidR="005653B7" w:rsidRPr="002E3460">
        <w:rPr>
          <w:rFonts w:ascii="Times New Roman" w:hAnsi="Times New Roman" w:cs="Times New Roman"/>
          <w:noProof/>
          <w:sz w:val="24"/>
          <w:szCs w:val="24"/>
        </w:rPr>
        <w:t xml:space="preserve"> 6)</w:t>
      </w:r>
      <w:r w:rsidRPr="002E3460">
        <w:rPr>
          <w:rFonts w:ascii="Times New Roman" w:hAnsi="Times New Roman" w:cs="Times New Roman"/>
          <w:sz w:val="24"/>
          <w:szCs w:val="24"/>
          <w:lang w:val="es-ES"/>
        </w:rPr>
        <w:t>.</w:t>
      </w:r>
    </w:p>
    <w:p w:rsidR="007F1A50" w:rsidRPr="002E3460" w:rsidRDefault="007F1A50" w:rsidP="00D04635">
      <w:pPr>
        <w:spacing w:line="360" w:lineRule="auto"/>
        <w:jc w:val="both"/>
        <w:rPr>
          <w:rFonts w:ascii="Times New Roman" w:hAnsi="Times New Roman" w:cs="Times New Roman"/>
          <w:sz w:val="24"/>
          <w:szCs w:val="24"/>
          <w:lang w:val="es-ES"/>
        </w:rPr>
      </w:pP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lastRenderedPageBreak/>
        <w:t>Al respecto la Corporación Nacional de Finanzas Populares y Solidarias (CONAFIPS), define a las Finanzas Populares y Solidarias de la siguiente manera:</w:t>
      </w:r>
    </w:p>
    <w:p w:rsidR="007F1A50" w:rsidRPr="002E3460" w:rsidRDefault="007F1A50" w:rsidP="00D04635">
      <w:pPr>
        <w:spacing w:line="360" w:lineRule="auto"/>
        <w:ind w:left="708"/>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 xml:space="preserve">El conjunto de ideas, esfuerzos, capacidades, apoyos, normas, programas, instrumentos, recursos y estructuras, que actúan en cada situación geográfica definida y limitada (recinto, parroquia, barrio, urbano, suburbano y rural), para que la población organice el mercado financiero del ahorro, del crédito y de los servicios financieros, en su propio beneficio y en pos del desarrollo de toda la comunidad, abiertos al intercambio de productos y servicios financieros con otras localidades, en perspectiva de construir un nuevo sistema de flujos financieros, que tengan al ser humano como centro del desarrollo económico y social. </w:t>
      </w:r>
      <w:r w:rsidR="005653B7">
        <w:rPr>
          <w:rFonts w:ascii="Times New Roman" w:hAnsi="Times New Roman" w:cs="Times New Roman"/>
          <w:noProof/>
          <w:sz w:val="24"/>
          <w:szCs w:val="24"/>
        </w:rPr>
        <w:t>(CONAFIPS, 2012:</w:t>
      </w:r>
      <w:r w:rsidR="005653B7" w:rsidRPr="002E3460">
        <w:rPr>
          <w:rFonts w:ascii="Times New Roman" w:hAnsi="Times New Roman" w:cs="Times New Roman"/>
          <w:noProof/>
          <w:sz w:val="24"/>
          <w:szCs w:val="24"/>
        </w:rPr>
        <w:t>7)</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Las organizaciones que forman parte del SFPS se caracterizan porque captan el ahorro, lo reinvierten vía crédito en la producción y ofrecen servicios financieros complementarios. Su funcionamiento se basa en principios de solidaridad democrática y ayuda mutua, honestidad, transparencia y sostenibilidad, por lo tanto el SFPS capta recursos y da financiamiento a aquellas personas que no tienen acceso a la banca tradicional.</w:t>
      </w:r>
    </w:p>
    <w:p w:rsidR="007F1A50" w:rsidRPr="002E3460" w:rsidRDefault="007F1A50" w:rsidP="00D04635">
      <w:pPr>
        <w:spacing w:line="360" w:lineRule="auto"/>
        <w:jc w:val="both"/>
        <w:rPr>
          <w:rFonts w:ascii="Times New Roman" w:hAnsi="Times New Roman" w:cs="Times New Roman"/>
          <w:sz w:val="24"/>
          <w:szCs w:val="24"/>
          <w:lang w:val="es-ES"/>
        </w:rPr>
      </w:pPr>
      <w:r w:rsidRPr="002E3460">
        <w:rPr>
          <w:rFonts w:ascii="Times New Roman" w:hAnsi="Times New Roman" w:cs="Times New Roman"/>
          <w:sz w:val="24"/>
          <w:szCs w:val="24"/>
          <w:lang w:val="es-ES"/>
        </w:rPr>
        <w:t>Por lo indicado anteriormente, es fundamental el paso dado en el Ecuador, al incorporar las Finanzas Populares y Solidarias en su Constitución del 2008, conforme establecen los artículos 308 al 312.</w:t>
      </w:r>
    </w:p>
    <w:p w:rsidR="007F1A50" w:rsidRPr="002E3460" w:rsidRDefault="007F1A50" w:rsidP="00D04635">
      <w:pPr>
        <w:shd w:val="clear" w:color="auto" w:fill="FFFFFF"/>
        <w:spacing w:line="360" w:lineRule="auto"/>
        <w:jc w:val="both"/>
        <w:textAlignment w:val="baseline"/>
        <w:rPr>
          <w:rFonts w:ascii="Times New Roman" w:hAnsi="Times New Roman" w:cs="Times New Roman"/>
          <w:sz w:val="24"/>
          <w:szCs w:val="24"/>
          <w:lang w:val="es-ES"/>
        </w:rPr>
      </w:pPr>
      <w:r w:rsidRPr="002E3460">
        <w:rPr>
          <w:rFonts w:ascii="Times New Roman" w:hAnsi="Times New Roman" w:cs="Times New Roman"/>
          <w:sz w:val="24"/>
          <w:szCs w:val="24"/>
          <w:lang w:val="es-ES"/>
        </w:rPr>
        <w:t>De esta forma, en el marco de la Constitución de la República del Ecuador en el 2008, establece en su artículo 283 que “el sistema es social y solidario (…)”. Sobre la EPS y su sector financiero manifiesta en el Art. 309 que el sistema financiero nacional se compone de los sectores: público, privado, y del popular y solidario, que intermedian recursos del público (…).</w:t>
      </w:r>
    </w:p>
    <w:p w:rsidR="007F1A50" w:rsidRPr="002E3460" w:rsidRDefault="007F1A50" w:rsidP="00D04635">
      <w:pPr>
        <w:shd w:val="clear" w:color="auto" w:fill="FFFFFF"/>
        <w:spacing w:line="360" w:lineRule="auto"/>
        <w:jc w:val="both"/>
        <w:textAlignment w:val="baseline"/>
        <w:rPr>
          <w:rFonts w:ascii="Times New Roman" w:hAnsi="Times New Roman" w:cs="Times New Roman"/>
          <w:sz w:val="24"/>
          <w:szCs w:val="24"/>
          <w:lang w:val="es-ES"/>
        </w:rPr>
      </w:pPr>
      <w:r w:rsidRPr="002E3460">
        <w:rPr>
          <w:rFonts w:ascii="Times New Roman" w:hAnsi="Times New Roman" w:cs="Times New Roman"/>
          <w:sz w:val="24"/>
          <w:szCs w:val="24"/>
          <w:lang w:val="es-ES"/>
        </w:rPr>
        <w:t>En el artículo 310 se indica que “el sector financiero público tendrá como finalidad la prestación sustentable, eficiente, accesible y equitativa de servicios financieros, que permita alcanzar los objetivos del Plan de Desarrollo y de los grupos menos desfavorecidos, a fin de impulsar su inclusión activa en la economía”.</w:t>
      </w:r>
    </w:p>
    <w:p w:rsidR="007F1A50" w:rsidRPr="002E3460" w:rsidRDefault="007F1A50" w:rsidP="00D04635">
      <w:pPr>
        <w:shd w:val="clear" w:color="auto" w:fill="FFFFFF"/>
        <w:spacing w:line="360" w:lineRule="auto"/>
        <w:jc w:val="both"/>
        <w:textAlignment w:val="baseline"/>
        <w:rPr>
          <w:rFonts w:ascii="Times New Roman" w:hAnsi="Times New Roman" w:cs="Times New Roman"/>
          <w:sz w:val="24"/>
          <w:szCs w:val="24"/>
          <w:lang w:val="es-ES"/>
        </w:rPr>
      </w:pPr>
    </w:p>
    <w:p w:rsidR="007F1A50" w:rsidRPr="002E3460" w:rsidRDefault="007F1A50" w:rsidP="00D04635">
      <w:pPr>
        <w:shd w:val="clear" w:color="auto" w:fill="FFFFFF"/>
        <w:spacing w:line="360" w:lineRule="auto"/>
        <w:jc w:val="both"/>
        <w:textAlignment w:val="baseline"/>
        <w:rPr>
          <w:rFonts w:ascii="Times New Roman" w:hAnsi="Times New Roman" w:cs="Times New Roman"/>
          <w:sz w:val="24"/>
          <w:szCs w:val="24"/>
          <w:lang w:val="es-ES"/>
        </w:rPr>
      </w:pPr>
      <w:r w:rsidRPr="002E3460">
        <w:rPr>
          <w:rFonts w:ascii="Times New Roman" w:hAnsi="Times New Roman" w:cs="Times New Roman"/>
          <w:sz w:val="24"/>
          <w:szCs w:val="24"/>
          <w:lang w:val="es-ES"/>
        </w:rPr>
        <w:lastRenderedPageBreak/>
        <w:t>En el artículo 311 se describe quienes componen el sistema financiero popular y solidario, indica que el SFPS está integrado por cooperativas de ahorro y crédito (COAC), cajas centrales, entidades asociativas o solidarias, cajas y bancos comunales, y cajas de ahorro</w:t>
      </w:r>
      <w:r w:rsidR="00D55986">
        <w:rPr>
          <w:rFonts w:ascii="Times New Roman" w:hAnsi="Times New Roman" w:cs="Times New Roman"/>
          <w:sz w:val="24"/>
          <w:szCs w:val="24"/>
          <w:lang w:val="es-ES"/>
        </w:rPr>
        <w:t>.</w:t>
      </w:r>
    </w:p>
    <w:p w:rsidR="007F1A50" w:rsidRPr="002E3460" w:rsidRDefault="007F1A50" w:rsidP="00D04635">
      <w:pPr>
        <w:spacing w:line="360" w:lineRule="auto"/>
        <w:jc w:val="both"/>
        <w:rPr>
          <w:rFonts w:ascii="Times New Roman" w:hAnsi="Times New Roman" w:cs="Times New Roman"/>
          <w:b/>
          <w:sz w:val="24"/>
          <w:szCs w:val="24"/>
          <w:lang w:val="es-ES"/>
        </w:rPr>
      </w:pPr>
      <w:r w:rsidRPr="002E3460">
        <w:rPr>
          <w:rFonts w:ascii="Times New Roman" w:hAnsi="Times New Roman" w:cs="Times New Roman"/>
          <w:b/>
          <w:sz w:val="24"/>
          <w:szCs w:val="24"/>
          <w:lang w:val="es-ES"/>
        </w:rPr>
        <w:t>Modelos de Balance Social</w:t>
      </w:r>
    </w:p>
    <w:p w:rsidR="00B136EF"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 xml:space="preserve">Modelo  de  balance  social  según  la  </w:t>
      </w:r>
      <w:r w:rsidR="00D6208D" w:rsidRPr="002E3460">
        <w:rPr>
          <w:rFonts w:ascii="Times New Roman" w:hAnsi="Times New Roman" w:cs="Times New Roman"/>
          <w:b/>
          <w:sz w:val="24"/>
          <w:szCs w:val="24"/>
        </w:rPr>
        <w:t>O</w:t>
      </w:r>
      <w:r w:rsidRPr="002E3460">
        <w:rPr>
          <w:rFonts w:ascii="Times New Roman" w:hAnsi="Times New Roman" w:cs="Times New Roman"/>
          <w:b/>
          <w:sz w:val="24"/>
          <w:szCs w:val="24"/>
        </w:rPr>
        <w:t xml:space="preserve">rganización </w:t>
      </w:r>
      <w:r w:rsidR="00D6208D" w:rsidRPr="002E3460">
        <w:rPr>
          <w:rFonts w:ascii="Times New Roman" w:hAnsi="Times New Roman" w:cs="Times New Roman"/>
          <w:b/>
          <w:sz w:val="24"/>
          <w:szCs w:val="24"/>
        </w:rPr>
        <w:t>I</w:t>
      </w:r>
      <w:r w:rsidRPr="002E3460">
        <w:rPr>
          <w:rFonts w:ascii="Times New Roman" w:hAnsi="Times New Roman" w:cs="Times New Roman"/>
          <w:b/>
          <w:sz w:val="24"/>
          <w:szCs w:val="24"/>
        </w:rPr>
        <w:t xml:space="preserve">nternacional del </w:t>
      </w:r>
      <w:r w:rsidR="00D6208D" w:rsidRPr="002E3460">
        <w:rPr>
          <w:rFonts w:ascii="Times New Roman" w:hAnsi="Times New Roman" w:cs="Times New Roman"/>
          <w:b/>
          <w:sz w:val="24"/>
          <w:szCs w:val="24"/>
        </w:rPr>
        <w:t>T</w:t>
      </w:r>
      <w:r w:rsidRPr="002E3460">
        <w:rPr>
          <w:rFonts w:ascii="Times New Roman" w:hAnsi="Times New Roman" w:cs="Times New Roman"/>
          <w:b/>
          <w:sz w:val="24"/>
          <w:szCs w:val="24"/>
        </w:rPr>
        <w:t>rabajo</w:t>
      </w:r>
      <w:r w:rsidR="00D6208D" w:rsidRPr="002E3460">
        <w:rPr>
          <w:rFonts w:ascii="Times New Roman" w:hAnsi="Times New Roman" w:cs="Times New Roman"/>
          <w:b/>
          <w:sz w:val="24"/>
          <w:szCs w:val="24"/>
        </w:rPr>
        <w:t xml:space="preserve"> (OIT)</w:t>
      </w:r>
    </w:p>
    <w:p w:rsidR="00D6208D" w:rsidRPr="002E3460" w:rsidRDefault="00D6208D"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El modelo de la OIT constituye una herramienta para la planificación, organización, dirección, registro, control y evaluación de la gestión social. Las variables que lo componen se ven influenciadas por aspectos políticos, económicos y sociales donde se encuentra la entidad</w:t>
      </w:r>
      <w:r w:rsidR="001768F0" w:rsidRPr="002E3460">
        <w:rPr>
          <w:rFonts w:ascii="Times New Roman" w:hAnsi="Times New Roman" w:cs="Times New Roman"/>
          <w:sz w:val="24"/>
          <w:szCs w:val="24"/>
        </w:rPr>
        <w:t xml:space="preserve">. Este modelo </w:t>
      </w:r>
      <w:r w:rsidRPr="002E3460">
        <w:rPr>
          <w:rFonts w:ascii="Times New Roman" w:hAnsi="Times New Roman" w:cs="Times New Roman"/>
          <w:sz w:val="24"/>
          <w:szCs w:val="24"/>
        </w:rPr>
        <w:t xml:space="preserve">contribuye a </w:t>
      </w:r>
      <w:r w:rsidR="001768F0" w:rsidRPr="002E3460">
        <w:rPr>
          <w:rFonts w:ascii="Times New Roman" w:hAnsi="Times New Roman" w:cs="Times New Roman"/>
          <w:sz w:val="24"/>
          <w:szCs w:val="24"/>
        </w:rPr>
        <w:t xml:space="preserve">que </w:t>
      </w:r>
      <w:r w:rsidRPr="002E3460">
        <w:rPr>
          <w:rFonts w:ascii="Times New Roman" w:hAnsi="Times New Roman" w:cs="Times New Roman"/>
          <w:sz w:val="24"/>
          <w:szCs w:val="24"/>
        </w:rPr>
        <w:t xml:space="preserve">las organizaciones </w:t>
      </w:r>
      <w:r w:rsidR="001768F0" w:rsidRPr="002E3460">
        <w:rPr>
          <w:rFonts w:ascii="Times New Roman" w:hAnsi="Times New Roman" w:cs="Times New Roman"/>
          <w:sz w:val="24"/>
          <w:szCs w:val="24"/>
        </w:rPr>
        <w:t>desarrollen acciones sociales voluntarias donde se asignan recursos para el desarrollo positivo de</w:t>
      </w:r>
      <w:r w:rsidRPr="002E3460">
        <w:rPr>
          <w:rFonts w:ascii="Times New Roman" w:hAnsi="Times New Roman" w:cs="Times New Roman"/>
          <w:sz w:val="24"/>
          <w:szCs w:val="24"/>
        </w:rPr>
        <w:t xml:space="preserve"> </w:t>
      </w:r>
      <w:r w:rsidR="001768F0" w:rsidRPr="002E3460">
        <w:rPr>
          <w:rFonts w:ascii="Times New Roman" w:hAnsi="Times New Roman" w:cs="Times New Roman"/>
          <w:sz w:val="24"/>
          <w:szCs w:val="24"/>
        </w:rPr>
        <w:t xml:space="preserve">las mismas (Salazar, 2008). </w:t>
      </w:r>
    </w:p>
    <w:p w:rsidR="00D6208D" w:rsidRPr="002E3460" w:rsidRDefault="001768F0"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El modelo se encuentra integrado de manera general por dos áreas, área interna y área externa. El área interna está compuesta por el ámbito socio-laboral, los servicios sociales, la integración y desarrollo. En el caso del área externa la compone las relaciones primarias, las relaciones con la comunidad y las relaciones con otras instituciones</w:t>
      </w:r>
      <w:r w:rsidR="00411783" w:rsidRPr="002E3460">
        <w:rPr>
          <w:rFonts w:ascii="Times New Roman" w:hAnsi="Times New Roman" w:cs="Times New Roman"/>
          <w:sz w:val="24"/>
          <w:szCs w:val="24"/>
        </w:rPr>
        <w:t xml:space="preserve"> (Martínez, 2014)</w:t>
      </w:r>
      <w:r w:rsidRPr="002E3460">
        <w:rPr>
          <w:rFonts w:ascii="Times New Roman" w:hAnsi="Times New Roman" w:cs="Times New Roman"/>
          <w:sz w:val="24"/>
          <w:szCs w:val="24"/>
        </w:rPr>
        <w:t xml:space="preserve">.  </w:t>
      </w:r>
    </w:p>
    <w:p w:rsidR="00234DC3"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 xml:space="preserve">Modelo  de  balance  social  según  el  </w:t>
      </w:r>
      <w:r w:rsidR="00551056" w:rsidRPr="002E3460">
        <w:rPr>
          <w:rFonts w:ascii="Times New Roman" w:hAnsi="Times New Roman" w:cs="Times New Roman"/>
          <w:b/>
          <w:sz w:val="24"/>
          <w:szCs w:val="24"/>
        </w:rPr>
        <w:t>G</w:t>
      </w:r>
      <w:r w:rsidRPr="002E3460">
        <w:rPr>
          <w:rFonts w:ascii="Times New Roman" w:hAnsi="Times New Roman" w:cs="Times New Roman"/>
          <w:b/>
          <w:sz w:val="24"/>
          <w:szCs w:val="24"/>
        </w:rPr>
        <w:t xml:space="preserve">lobal  </w:t>
      </w:r>
      <w:r w:rsidR="00551056" w:rsidRPr="002E3460">
        <w:rPr>
          <w:rFonts w:ascii="Times New Roman" w:hAnsi="Times New Roman" w:cs="Times New Roman"/>
          <w:b/>
          <w:sz w:val="24"/>
          <w:szCs w:val="24"/>
        </w:rPr>
        <w:t>C</w:t>
      </w:r>
      <w:r w:rsidRPr="002E3460">
        <w:rPr>
          <w:rFonts w:ascii="Times New Roman" w:hAnsi="Times New Roman" w:cs="Times New Roman"/>
          <w:b/>
          <w:sz w:val="24"/>
          <w:szCs w:val="24"/>
        </w:rPr>
        <w:t>ompact  de Naciones Unidas</w:t>
      </w:r>
    </w:p>
    <w:p w:rsidR="00D63090" w:rsidRPr="002E3460" w:rsidRDefault="006C66CA"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Pacto Global </w:t>
      </w:r>
      <w:r w:rsidR="00D63090" w:rsidRPr="002E3460">
        <w:rPr>
          <w:rFonts w:ascii="Times New Roman" w:hAnsi="Times New Roman" w:cs="Times New Roman"/>
          <w:sz w:val="24"/>
          <w:szCs w:val="24"/>
        </w:rPr>
        <w:t xml:space="preserve">de </w:t>
      </w:r>
      <w:r w:rsidRPr="002E3460">
        <w:rPr>
          <w:rFonts w:ascii="Times New Roman" w:hAnsi="Times New Roman" w:cs="Times New Roman"/>
          <w:sz w:val="24"/>
          <w:szCs w:val="24"/>
        </w:rPr>
        <w:t>las Naciones Unidas</w:t>
      </w:r>
      <w:r w:rsidR="00D63090" w:rsidRPr="002E3460">
        <w:rPr>
          <w:rFonts w:ascii="Times New Roman" w:hAnsi="Times New Roman" w:cs="Times New Roman"/>
          <w:sz w:val="24"/>
          <w:szCs w:val="24"/>
        </w:rPr>
        <w:t xml:space="preserve"> se crea</w:t>
      </w:r>
      <w:r w:rsidRPr="002E3460">
        <w:rPr>
          <w:rFonts w:ascii="Times New Roman" w:hAnsi="Times New Roman" w:cs="Times New Roman"/>
          <w:sz w:val="24"/>
          <w:szCs w:val="24"/>
        </w:rPr>
        <w:t xml:space="preserve"> con la finalidad de </w:t>
      </w:r>
      <w:r w:rsidR="00192BCF" w:rsidRPr="002E3460">
        <w:rPr>
          <w:rFonts w:ascii="Times New Roman" w:hAnsi="Times New Roman" w:cs="Times New Roman"/>
          <w:sz w:val="24"/>
          <w:szCs w:val="24"/>
        </w:rPr>
        <w:t>garantizar la responsabilidad global de las empresas</w:t>
      </w:r>
      <w:r w:rsidRPr="002E3460">
        <w:rPr>
          <w:rFonts w:ascii="Times New Roman" w:hAnsi="Times New Roman" w:cs="Times New Roman"/>
          <w:sz w:val="24"/>
          <w:szCs w:val="24"/>
        </w:rPr>
        <w:t>. Está compuest</w:t>
      </w:r>
      <w:r w:rsidR="00857EEB" w:rsidRPr="002E3460">
        <w:rPr>
          <w:rFonts w:ascii="Times New Roman" w:hAnsi="Times New Roman" w:cs="Times New Roman"/>
          <w:sz w:val="24"/>
          <w:szCs w:val="24"/>
        </w:rPr>
        <w:t>o</w:t>
      </w:r>
      <w:r w:rsidRPr="002E3460">
        <w:rPr>
          <w:rFonts w:ascii="Times New Roman" w:hAnsi="Times New Roman" w:cs="Times New Roman"/>
          <w:sz w:val="24"/>
          <w:szCs w:val="24"/>
        </w:rPr>
        <w:t xml:space="preserve"> por 4 ejes bases</w:t>
      </w:r>
      <w:r w:rsidR="0037150A" w:rsidRPr="002E3460">
        <w:rPr>
          <w:rFonts w:ascii="Times New Roman" w:hAnsi="Times New Roman" w:cs="Times New Roman"/>
          <w:sz w:val="24"/>
          <w:szCs w:val="24"/>
        </w:rPr>
        <w:t xml:space="preserve"> y diez principios; siendo estos ejes</w:t>
      </w:r>
      <w:r w:rsidRPr="002E3460">
        <w:rPr>
          <w:rFonts w:ascii="Times New Roman" w:hAnsi="Times New Roman" w:cs="Times New Roman"/>
          <w:sz w:val="24"/>
          <w:szCs w:val="24"/>
        </w:rPr>
        <w:t xml:space="preserve"> </w:t>
      </w:r>
      <w:r w:rsidR="00D63090" w:rsidRPr="002E3460">
        <w:rPr>
          <w:rFonts w:ascii="Times New Roman" w:hAnsi="Times New Roman" w:cs="Times New Roman"/>
          <w:sz w:val="24"/>
          <w:szCs w:val="24"/>
        </w:rPr>
        <w:t>d</w:t>
      </w:r>
      <w:r w:rsidR="00192BCF" w:rsidRPr="002E3460">
        <w:rPr>
          <w:rFonts w:ascii="Times New Roman" w:hAnsi="Times New Roman" w:cs="Times New Roman"/>
          <w:sz w:val="24"/>
          <w:szCs w:val="24"/>
        </w:rPr>
        <w:t xml:space="preserve">erechos </w:t>
      </w:r>
      <w:r w:rsidR="00D63090" w:rsidRPr="002E3460">
        <w:rPr>
          <w:rFonts w:ascii="Times New Roman" w:hAnsi="Times New Roman" w:cs="Times New Roman"/>
          <w:sz w:val="24"/>
          <w:szCs w:val="24"/>
        </w:rPr>
        <w:t>h</w:t>
      </w:r>
      <w:r w:rsidR="00192BCF" w:rsidRPr="002E3460">
        <w:rPr>
          <w:rFonts w:ascii="Times New Roman" w:hAnsi="Times New Roman" w:cs="Times New Roman"/>
          <w:sz w:val="24"/>
          <w:szCs w:val="24"/>
        </w:rPr>
        <w:t xml:space="preserve">umanos, </w:t>
      </w:r>
      <w:r w:rsidR="00D63090" w:rsidRPr="002E3460">
        <w:rPr>
          <w:rFonts w:ascii="Times New Roman" w:hAnsi="Times New Roman" w:cs="Times New Roman"/>
          <w:sz w:val="24"/>
          <w:szCs w:val="24"/>
        </w:rPr>
        <w:t>n</w:t>
      </w:r>
      <w:r w:rsidR="00192BCF" w:rsidRPr="002E3460">
        <w:rPr>
          <w:rFonts w:ascii="Times New Roman" w:hAnsi="Times New Roman" w:cs="Times New Roman"/>
          <w:sz w:val="24"/>
          <w:szCs w:val="24"/>
        </w:rPr>
        <w:t xml:space="preserve">ormas </w:t>
      </w:r>
      <w:r w:rsidR="00D63090" w:rsidRPr="002E3460">
        <w:rPr>
          <w:rFonts w:ascii="Times New Roman" w:hAnsi="Times New Roman" w:cs="Times New Roman"/>
          <w:sz w:val="24"/>
          <w:szCs w:val="24"/>
        </w:rPr>
        <w:t>l</w:t>
      </w:r>
      <w:r w:rsidR="00192BCF" w:rsidRPr="002E3460">
        <w:rPr>
          <w:rFonts w:ascii="Times New Roman" w:hAnsi="Times New Roman" w:cs="Times New Roman"/>
          <w:sz w:val="24"/>
          <w:szCs w:val="24"/>
        </w:rPr>
        <w:t xml:space="preserve">aborales, </w:t>
      </w:r>
      <w:r w:rsidR="00D63090" w:rsidRPr="002E3460">
        <w:rPr>
          <w:rFonts w:ascii="Times New Roman" w:hAnsi="Times New Roman" w:cs="Times New Roman"/>
          <w:sz w:val="24"/>
          <w:szCs w:val="24"/>
        </w:rPr>
        <w:t>m</w:t>
      </w:r>
      <w:r w:rsidR="00192BCF" w:rsidRPr="002E3460">
        <w:rPr>
          <w:rFonts w:ascii="Times New Roman" w:hAnsi="Times New Roman" w:cs="Times New Roman"/>
          <w:sz w:val="24"/>
          <w:szCs w:val="24"/>
        </w:rPr>
        <w:t xml:space="preserve">edio </w:t>
      </w:r>
      <w:r w:rsidR="00D63090" w:rsidRPr="002E3460">
        <w:rPr>
          <w:rFonts w:ascii="Times New Roman" w:hAnsi="Times New Roman" w:cs="Times New Roman"/>
          <w:sz w:val="24"/>
          <w:szCs w:val="24"/>
        </w:rPr>
        <w:t>a</w:t>
      </w:r>
      <w:r w:rsidR="00192BCF" w:rsidRPr="002E3460">
        <w:rPr>
          <w:rFonts w:ascii="Times New Roman" w:hAnsi="Times New Roman" w:cs="Times New Roman"/>
          <w:sz w:val="24"/>
          <w:szCs w:val="24"/>
        </w:rPr>
        <w:t>mbiente</w:t>
      </w:r>
      <w:r w:rsidRPr="002E3460">
        <w:rPr>
          <w:rFonts w:ascii="Times New Roman" w:hAnsi="Times New Roman" w:cs="Times New Roman"/>
          <w:sz w:val="24"/>
          <w:szCs w:val="24"/>
        </w:rPr>
        <w:t xml:space="preserve"> y la </w:t>
      </w:r>
      <w:r w:rsidR="00D63090" w:rsidRPr="002E3460">
        <w:rPr>
          <w:rFonts w:ascii="Times New Roman" w:hAnsi="Times New Roman" w:cs="Times New Roman"/>
          <w:sz w:val="24"/>
          <w:szCs w:val="24"/>
        </w:rPr>
        <w:t>l</w:t>
      </w:r>
      <w:r w:rsidRPr="002E3460">
        <w:rPr>
          <w:rFonts w:ascii="Times New Roman" w:hAnsi="Times New Roman" w:cs="Times New Roman"/>
          <w:sz w:val="24"/>
          <w:szCs w:val="24"/>
        </w:rPr>
        <w:t xml:space="preserve">ucha </w:t>
      </w:r>
      <w:r w:rsidR="00192BCF" w:rsidRPr="002E3460">
        <w:rPr>
          <w:rFonts w:ascii="Times New Roman" w:hAnsi="Times New Roman" w:cs="Times New Roman"/>
          <w:sz w:val="24"/>
          <w:szCs w:val="24"/>
        </w:rPr>
        <w:t>contra la corrupción</w:t>
      </w:r>
      <w:r w:rsidR="0037150A" w:rsidRPr="002E3460">
        <w:rPr>
          <w:rFonts w:ascii="Times New Roman" w:hAnsi="Times New Roman" w:cs="Times New Roman"/>
          <w:sz w:val="24"/>
          <w:szCs w:val="24"/>
        </w:rPr>
        <w:t xml:space="preserve">, </w:t>
      </w:r>
      <w:r w:rsidR="004F29EB" w:rsidRPr="002E3460">
        <w:rPr>
          <w:rFonts w:ascii="Times New Roman" w:hAnsi="Times New Roman" w:cs="Times New Roman"/>
          <w:sz w:val="24"/>
          <w:szCs w:val="24"/>
        </w:rPr>
        <w:t xml:space="preserve">los cuales </w:t>
      </w:r>
      <w:r w:rsidR="0037150A" w:rsidRPr="002E3460">
        <w:rPr>
          <w:rFonts w:ascii="Times New Roman" w:hAnsi="Times New Roman" w:cs="Times New Roman"/>
          <w:sz w:val="24"/>
          <w:szCs w:val="24"/>
        </w:rPr>
        <w:t>se enfoca</w:t>
      </w:r>
      <w:r w:rsidR="004F29EB" w:rsidRPr="002E3460">
        <w:rPr>
          <w:rFonts w:ascii="Times New Roman" w:hAnsi="Times New Roman" w:cs="Times New Roman"/>
          <w:sz w:val="24"/>
          <w:szCs w:val="24"/>
        </w:rPr>
        <w:t>n</w:t>
      </w:r>
      <w:r w:rsidR="0037150A" w:rsidRPr="002E3460">
        <w:rPr>
          <w:rFonts w:ascii="Times New Roman" w:hAnsi="Times New Roman" w:cs="Times New Roman"/>
          <w:sz w:val="24"/>
          <w:szCs w:val="24"/>
        </w:rPr>
        <w:t xml:space="preserve"> en que las instituciones revalúen sus actuales estrategias de responsabilidad corporativa</w:t>
      </w:r>
      <w:r w:rsidR="00857EEB" w:rsidRPr="002E3460">
        <w:rPr>
          <w:rFonts w:ascii="Times New Roman" w:hAnsi="Times New Roman" w:cs="Times New Roman"/>
          <w:sz w:val="24"/>
          <w:szCs w:val="24"/>
        </w:rPr>
        <w:t xml:space="preserve"> (Patiño, 2011)</w:t>
      </w:r>
      <w:r w:rsidR="00D63090" w:rsidRPr="002E3460">
        <w:rPr>
          <w:rFonts w:ascii="Times New Roman" w:hAnsi="Times New Roman" w:cs="Times New Roman"/>
          <w:sz w:val="24"/>
          <w:szCs w:val="24"/>
        </w:rPr>
        <w:t>.</w:t>
      </w:r>
    </w:p>
    <w:p w:rsidR="00857EEB" w:rsidRPr="002E3460" w:rsidRDefault="000D3CAA"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La metodología de este modelo abarca indicadores </w:t>
      </w:r>
      <w:r w:rsidR="00300D3F" w:rsidRPr="002E3460">
        <w:rPr>
          <w:rFonts w:ascii="Times New Roman" w:hAnsi="Times New Roman" w:cs="Times New Roman"/>
          <w:sz w:val="24"/>
          <w:szCs w:val="24"/>
        </w:rPr>
        <w:t>cualitativos, los cuales representan su importancia dentro del modelo de balance social.</w:t>
      </w:r>
    </w:p>
    <w:p w:rsidR="00234DC3"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Modelo  de  balance  social  según  el  Global  Reporting Iniciative (GRI)</w:t>
      </w:r>
    </w:p>
    <w:p w:rsidR="0025240F" w:rsidRPr="002E3460" w:rsidRDefault="0025240F"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GRI es uno de los modelos estandarizados más utilizados por las empresas en aras de medir la sustentabilidad corporativa, evidenciándose en los últimos años un incremento en la emisión de reportes por parte de las entidades (González et al., 2015). Dichos reportes </w:t>
      </w:r>
      <w:r w:rsidRPr="002E3460">
        <w:rPr>
          <w:rFonts w:ascii="Times New Roman" w:hAnsi="Times New Roman" w:cs="Times New Roman"/>
          <w:sz w:val="24"/>
          <w:szCs w:val="24"/>
        </w:rPr>
        <w:lastRenderedPageBreak/>
        <w:t xml:space="preserve">emitidos han propiciado el incremento de la calidad de la información recopilada referente al desarrollo medio ambiental, social y económico de las empresas. </w:t>
      </w:r>
    </w:p>
    <w:p w:rsidR="00AE31BF" w:rsidRPr="002E3460" w:rsidRDefault="0025240F"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GRI se cimienta en los tres elementos del desarrollo sostenible, los cuales son </w:t>
      </w:r>
      <w:r w:rsidR="00273212" w:rsidRPr="002E3460">
        <w:rPr>
          <w:rFonts w:ascii="Times New Roman" w:hAnsi="Times New Roman" w:cs="Times New Roman"/>
          <w:sz w:val="24"/>
          <w:szCs w:val="24"/>
        </w:rPr>
        <w:t>económico, social y medioambiente (Abadía, 2005). De igual forma, l</w:t>
      </w:r>
      <w:r w:rsidRPr="002E3460">
        <w:rPr>
          <w:rFonts w:ascii="Times New Roman" w:hAnsi="Times New Roman" w:cs="Times New Roman"/>
          <w:sz w:val="24"/>
          <w:szCs w:val="24"/>
        </w:rPr>
        <w:t xml:space="preserve">a versión de este modelo </w:t>
      </w:r>
      <w:r w:rsidR="00C13DCD" w:rsidRPr="002E3460">
        <w:rPr>
          <w:rFonts w:ascii="Times New Roman" w:hAnsi="Times New Roman" w:cs="Times New Roman"/>
          <w:sz w:val="24"/>
          <w:szCs w:val="24"/>
        </w:rPr>
        <w:t>G3</w:t>
      </w:r>
      <w:r w:rsidRPr="002E3460">
        <w:rPr>
          <w:rFonts w:ascii="Times New Roman" w:hAnsi="Times New Roman" w:cs="Times New Roman"/>
          <w:sz w:val="24"/>
          <w:szCs w:val="24"/>
        </w:rPr>
        <w:t xml:space="preserve">, se enfoca en las áreas económicas, medio ambientales, derechos humanos, mano de obra, responsabilidad del producto y sociedad (González et al., 2015). </w:t>
      </w:r>
      <w:r w:rsidR="00AE31BF" w:rsidRPr="002E3460">
        <w:rPr>
          <w:rFonts w:ascii="Times New Roman" w:hAnsi="Times New Roman" w:cs="Times New Roman"/>
          <w:sz w:val="24"/>
          <w:szCs w:val="24"/>
        </w:rPr>
        <w:t>Una de las mayores ventajas que tiene la implementación del modelo GRI, es que incluye la aplicación de indicadores cualitativos y cuantitativos lo que permite una medición efectiva</w:t>
      </w:r>
      <w:r w:rsidR="00F51C42" w:rsidRPr="002E3460">
        <w:rPr>
          <w:rFonts w:ascii="Times New Roman" w:hAnsi="Times New Roman" w:cs="Times New Roman"/>
          <w:sz w:val="24"/>
          <w:szCs w:val="24"/>
        </w:rPr>
        <w:t>.</w:t>
      </w:r>
    </w:p>
    <w:p w:rsidR="00234DC3"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Modelo de balance social según el Instituto ETHOS</w:t>
      </w:r>
    </w:p>
    <w:p w:rsidR="00E32966" w:rsidRPr="002E3460" w:rsidRDefault="00173775"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modelo </w:t>
      </w:r>
      <w:r w:rsidR="00AA3C0A" w:rsidRPr="002E3460">
        <w:rPr>
          <w:rFonts w:ascii="Times New Roman" w:hAnsi="Times New Roman" w:cs="Times New Roman"/>
          <w:sz w:val="24"/>
          <w:szCs w:val="24"/>
        </w:rPr>
        <w:t xml:space="preserve">Ethos </w:t>
      </w:r>
      <w:r w:rsidRPr="002E3460">
        <w:rPr>
          <w:rFonts w:ascii="Times New Roman" w:hAnsi="Times New Roman" w:cs="Times New Roman"/>
          <w:sz w:val="24"/>
          <w:szCs w:val="24"/>
        </w:rPr>
        <w:t xml:space="preserve">está considerado como una buena herramienta para el monitoreo de las responsabilidad </w:t>
      </w:r>
      <w:r w:rsidR="00AA3C0A" w:rsidRPr="002E3460">
        <w:rPr>
          <w:rFonts w:ascii="Times New Roman" w:hAnsi="Times New Roman" w:cs="Times New Roman"/>
          <w:sz w:val="24"/>
          <w:szCs w:val="24"/>
        </w:rPr>
        <w:t>empresarial.</w:t>
      </w:r>
      <w:r w:rsidRPr="002E3460">
        <w:rPr>
          <w:rFonts w:ascii="Times New Roman" w:hAnsi="Times New Roman" w:cs="Times New Roman"/>
          <w:sz w:val="24"/>
          <w:szCs w:val="24"/>
        </w:rPr>
        <w:t xml:space="preserve"> Está basado en un cuestionario dividido en las </w:t>
      </w:r>
      <w:r w:rsidR="005937CE" w:rsidRPr="002E3460">
        <w:rPr>
          <w:rFonts w:ascii="Times New Roman" w:hAnsi="Times New Roman" w:cs="Times New Roman"/>
          <w:sz w:val="24"/>
          <w:szCs w:val="24"/>
        </w:rPr>
        <w:t>áreas de V</w:t>
      </w:r>
      <w:r w:rsidR="00E32966" w:rsidRPr="002E3460">
        <w:rPr>
          <w:rFonts w:ascii="Times New Roman" w:hAnsi="Times New Roman" w:cs="Times New Roman"/>
          <w:sz w:val="24"/>
          <w:szCs w:val="24"/>
        </w:rPr>
        <w:t>alores, Transparencia y Gobierno Corporativo</w:t>
      </w:r>
      <w:r w:rsidR="005937CE" w:rsidRPr="002E3460">
        <w:rPr>
          <w:rFonts w:ascii="Times New Roman" w:hAnsi="Times New Roman" w:cs="Times New Roman"/>
          <w:sz w:val="24"/>
          <w:szCs w:val="24"/>
        </w:rPr>
        <w:t xml:space="preserve">; </w:t>
      </w:r>
      <w:r w:rsidR="00E32966" w:rsidRPr="002E3460">
        <w:rPr>
          <w:rFonts w:ascii="Times New Roman" w:hAnsi="Times New Roman" w:cs="Times New Roman"/>
          <w:sz w:val="24"/>
          <w:szCs w:val="24"/>
        </w:rPr>
        <w:t>Público Interno</w:t>
      </w:r>
      <w:r w:rsidR="005937CE" w:rsidRPr="002E3460">
        <w:rPr>
          <w:rFonts w:ascii="Times New Roman" w:hAnsi="Times New Roman" w:cs="Times New Roman"/>
          <w:sz w:val="24"/>
          <w:szCs w:val="24"/>
        </w:rPr>
        <w:t xml:space="preserve">; </w:t>
      </w:r>
      <w:r w:rsidR="00E32966" w:rsidRPr="002E3460">
        <w:rPr>
          <w:rFonts w:ascii="Times New Roman" w:hAnsi="Times New Roman" w:cs="Times New Roman"/>
          <w:sz w:val="24"/>
          <w:szCs w:val="24"/>
        </w:rPr>
        <w:t>Medio Ambiente</w:t>
      </w:r>
      <w:r w:rsidR="005937CE" w:rsidRPr="002E3460">
        <w:rPr>
          <w:rFonts w:ascii="Times New Roman" w:hAnsi="Times New Roman" w:cs="Times New Roman"/>
          <w:sz w:val="24"/>
          <w:szCs w:val="24"/>
        </w:rPr>
        <w:t xml:space="preserve">; </w:t>
      </w:r>
      <w:r w:rsidR="00E32966" w:rsidRPr="002E3460">
        <w:rPr>
          <w:rFonts w:ascii="Times New Roman" w:hAnsi="Times New Roman" w:cs="Times New Roman"/>
          <w:sz w:val="24"/>
          <w:szCs w:val="24"/>
        </w:rPr>
        <w:t>Proveedores Consumidores y Clientes</w:t>
      </w:r>
      <w:r w:rsidR="005937CE" w:rsidRPr="002E3460">
        <w:rPr>
          <w:rFonts w:ascii="Times New Roman" w:hAnsi="Times New Roman" w:cs="Times New Roman"/>
          <w:sz w:val="24"/>
          <w:szCs w:val="24"/>
        </w:rPr>
        <w:t xml:space="preserve">; </w:t>
      </w:r>
      <w:r w:rsidR="00E32966" w:rsidRPr="002E3460">
        <w:rPr>
          <w:rFonts w:ascii="Times New Roman" w:hAnsi="Times New Roman" w:cs="Times New Roman"/>
          <w:sz w:val="24"/>
          <w:szCs w:val="24"/>
        </w:rPr>
        <w:t xml:space="preserve"> Comunidad</w:t>
      </w:r>
      <w:r w:rsidR="005937CE" w:rsidRPr="002E3460">
        <w:rPr>
          <w:rFonts w:ascii="Times New Roman" w:hAnsi="Times New Roman" w:cs="Times New Roman"/>
          <w:sz w:val="24"/>
          <w:szCs w:val="24"/>
        </w:rPr>
        <w:t>;</w:t>
      </w:r>
      <w:r w:rsidR="00E32966" w:rsidRPr="002E3460">
        <w:rPr>
          <w:rFonts w:ascii="Times New Roman" w:hAnsi="Times New Roman" w:cs="Times New Roman"/>
          <w:sz w:val="24"/>
          <w:szCs w:val="24"/>
        </w:rPr>
        <w:t xml:space="preserve"> Gobierno y Sociedad</w:t>
      </w:r>
    </w:p>
    <w:p w:rsidR="0010774D" w:rsidRPr="002E3460" w:rsidRDefault="004F73D5"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Esta </w:t>
      </w:r>
      <w:r w:rsidR="000E05C7" w:rsidRPr="002E3460">
        <w:rPr>
          <w:rFonts w:ascii="Times New Roman" w:hAnsi="Times New Roman" w:cs="Times New Roman"/>
          <w:sz w:val="24"/>
          <w:szCs w:val="24"/>
        </w:rPr>
        <w:t>norma</w:t>
      </w:r>
      <w:r w:rsidRPr="002E3460">
        <w:rPr>
          <w:rFonts w:ascii="Times New Roman" w:hAnsi="Times New Roman" w:cs="Times New Roman"/>
          <w:sz w:val="24"/>
          <w:szCs w:val="24"/>
        </w:rPr>
        <w:t xml:space="preserve"> permite la gestión </w:t>
      </w:r>
      <w:r w:rsidR="000E05C7" w:rsidRPr="002E3460">
        <w:rPr>
          <w:rFonts w:ascii="Times New Roman" w:hAnsi="Times New Roman" w:cs="Times New Roman"/>
          <w:sz w:val="24"/>
          <w:szCs w:val="24"/>
        </w:rPr>
        <w:t>empresarial</w:t>
      </w:r>
      <w:r w:rsidR="008D128D" w:rsidRPr="002E3460">
        <w:rPr>
          <w:rFonts w:ascii="Times New Roman" w:hAnsi="Times New Roman" w:cs="Times New Roman"/>
          <w:sz w:val="24"/>
          <w:szCs w:val="24"/>
        </w:rPr>
        <w:t xml:space="preserve"> ya que los indicadores </w:t>
      </w:r>
      <w:r w:rsidR="0010774D" w:rsidRPr="002E3460">
        <w:rPr>
          <w:rFonts w:ascii="Times New Roman" w:hAnsi="Times New Roman" w:cs="Times New Roman"/>
          <w:sz w:val="24"/>
          <w:szCs w:val="24"/>
        </w:rPr>
        <w:t xml:space="preserve">permiten </w:t>
      </w:r>
      <w:r w:rsidR="008D128D" w:rsidRPr="002E3460">
        <w:rPr>
          <w:rFonts w:ascii="Times New Roman" w:hAnsi="Times New Roman" w:cs="Times New Roman"/>
          <w:sz w:val="24"/>
          <w:szCs w:val="24"/>
        </w:rPr>
        <w:t xml:space="preserve">la evaluación del </w:t>
      </w:r>
      <w:r w:rsidR="0010774D" w:rsidRPr="002E3460">
        <w:rPr>
          <w:rFonts w:ascii="Times New Roman" w:hAnsi="Times New Roman" w:cs="Times New Roman"/>
          <w:sz w:val="24"/>
          <w:szCs w:val="24"/>
        </w:rPr>
        <w:t xml:space="preserve">grado de </w:t>
      </w:r>
      <w:r w:rsidR="008D128D" w:rsidRPr="002E3460">
        <w:rPr>
          <w:rFonts w:ascii="Times New Roman" w:hAnsi="Times New Roman" w:cs="Times New Roman"/>
          <w:sz w:val="24"/>
          <w:szCs w:val="24"/>
        </w:rPr>
        <w:t>“</w:t>
      </w:r>
      <w:r w:rsidR="0010774D" w:rsidRPr="002E3460">
        <w:rPr>
          <w:rFonts w:ascii="Times New Roman" w:hAnsi="Times New Roman" w:cs="Times New Roman"/>
          <w:sz w:val="24"/>
          <w:szCs w:val="24"/>
        </w:rPr>
        <w:t>desarrollo de las estrategias, políticas y prácticas en los ámbitos que involucran la responsabilidad social de una organización. Estos indicadores abarcan la RSE desde una perspectiva integral, que incluye las políticas y acciones de la empresa en siete áreas</w:t>
      </w:r>
      <w:r w:rsidR="008D128D" w:rsidRPr="002E3460">
        <w:rPr>
          <w:rFonts w:ascii="Times New Roman" w:hAnsi="Times New Roman" w:cs="Times New Roman"/>
          <w:sz w:val="24"/>
          <w:szCs w:val="24"/>
        </w:rPr>
        <w:t>” (Giménez et al</w:t>
      </w:r>
      <w:r w:rsidR="0010774D" w:rsidRPr="002E3460">
        <w:rPr>
          <w:rFonts w:ascii="Times New Roman" w:hAnsi="Times New Roman" w:cs="Times New Roman"/>
          <w:sz w:val="24"/>
          <w:szCs w:val="24"/>
        </w:rPr>
        <w:t>.</w:t>
      </w:r>
      <w:r w:rsidR="008D128D" w:rsidRPr="002E3460">
        <w:rPr>
          <w:rFonts w:ascii="Times New Roman" w:hAnsi="Times New Roman" w:cs="Times New Roman"/>
          <w:sz w:val="24"/>
          <w:szCs w:val="24"/>
        </w:rPr>
        <w:t>, 2007</w:t>
      </w:r>
      <w:r w:rsidR="0095422F">
        <w:rPr>
          <w:rFonts w:ascii="Times New Roman" w:hAnsi="Times New Roman" w:cs="Times New Roman"/>
          <w:sz w:val="24"/>
          <w:szCs w:val="24"/>
        </w:rPr>
        <w:t>:</w:t>
      </w:r>
      <w:r w:rsidR="008D128D" w:rsidRPr="002E3460">
        <w:rPr>
          <w:rFonts w:ascii="Times New Roman" w:hAnsi="Times New Roman" w:cs="Times New Roman"/>
          <w:sz w:val="24"/>
          <w:szCs w:val="24"/>
        </w:rPr>
        <w:t xml:space="preserve"> 42)</w:t>
      </w:r>
    </w:p>
    <w:p w:rsidR="00234DC3"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Modelo de balance social según la Alianza Cooperativa Internacional (ACI)</w:t>
      </w:r>
    </w:p>
    <w:p w:rsidR="00234DC3" w:rsidRPr="002E3460" w:rsidRDefault="008B1F8D"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La ACI define un grupo de principios y valores bajo los cuales deben funcionar las cooperativas, en aras de que el balance social constituya una herramienta de evaluación de las acciones integrales de la organización.</w:t>
      </w:r>
      <w:r w:rsidR="0045753C" w:rsidRPr="002E3460">
        <w:rPr>
          <w:rFonts w:ascii="Times New Roman" w:hAnsi="Times New Roman" w:cs="Times New Roman"/>
          <w:sz w:val="24"/>
          <w:szCs w:val="24"/>
        </w:rPr>
        <w:t xml:space="preserve"> Los 7 principios están basados en membresía abierta y voluntaria; control democrático de miembros; participación económica de los miembros; autonomía e independencia; educación, formación e información; cooperación entre cooperativas y compromiso con la comunidad</w:t>
      </w:r>
      <w:r w:rsidR="00A5712D" w:rsidRPr="002E3460">
        <w:rPr>
          <w:rFonts w:ascii="Times New Roman" w:hAnsi="Times New Roman" w:cs="Times New Roman"/>
          <w:sz w:val="24"/>
          <w:szCs w:val="24"/>
        </w:rPr>
        <w:t xml:space="preserve"> (Martínez, 2014)</w:t>
      </w:r>
      <w:r w:rsidR="0045753C" w:rsidRPr="002E3460">
        <w:rPr>
          <w:rFonts w:ascii="Times New Roman" w:hAnsi="Times New Roman" w:cs="Times New Roman"/>
          <w:sz w:val="24"/>
          <w:szCs w:val="24"/>
        </w:rPr>
        <w:t xml:space="preserve">.  </w:t>
      </w:r>
      <w:r w:rsidRPr="002E3460">
        <w:rPr>
          <w:rFonts w:ascii="Times New Roman" w:hAnsi="Times New Roman" w:cs="Times New Roman"/>
          <w:sz w:val="24"/>
          <w:szCs w:val="24"/>
        </w:rPr>
        <w:t xml:space="preserve">   </w:t>
      </w:r>
    </w:p>
    <w:p w:rsidR="00234DC3" w:rsidRPr="002E3460" w:rsidRDefault="00234DC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Modelo  de  balance  social  según  la  metodología  de  la SEPS</w:t>
      </w:r>
    </w:p>
    <w:p w:rsidR="00411783" w:rsidRPr="002E3460" w:rsidRDefault="00ED0C50"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El modelo del balance social de la SEPS se basa en la integración de los 7 principios de la ACI</w:t>
      </w:r>
      <w:r w:rsidR="00694E3E" w:rsidRPr="002E3460">
        <w:rPr>
          <w:rFonts w:ascii="Times New Roman" w:hAnsi="Times New Roman" w:cs="Times New Roman"/>
          <w:sz w:val="24"/>
          <w:szCs w:val="24"/>
        </w:rPr>
        <w:t xml:space="preserve"> (mencionados con anterioridad)</w:t>
      </w:r>
      <w:r w:rsidRPr="002E3460">
        <w:rPr>
          <w:rFonts w:ascii="Times New Roman" w:hAnsi="Times New Roman" w:cs="Times New Roman"/>
          <w:sz w:val="24"/>
          <w:szCs w:val="24"/>
        </w:rPr>
        <w:t>, los 10 principios del buen vivir</w:t>
      </w:r>
      <w:r w:rsidR="00893B38" w:rsidRPr="002E3460">
        <w:rPr>
          <w:rFonts w:ascii="Times New Roman" w:hAnsi="Times New Roman" w:cs="Times New Roman"/>
          <w:sz w:val="24"/>
          <w:szCs w:val="24"/>
        </w:rPr>
        <w:t xml:space="preserve"> (Unidad en la </w:t>
      </w:r>
      <w:r w:rsidR="00893B38" w:rsidRPr="002E3460">
        <w:rPr>
          <w:rFonts w:ascii="Times New Roman" w:hAnsi="Times New Roman" w:cs="Times New Roman"/>
          <w:sz w:val="24"/>
          <w:szCs w:val="24"/>
        </w:rPr>
        <w:lastRenderedPageBreak/>
        <w:t xml:space="preserve">diversidad, Ser humano que desea vivir en sociedad, Igualdad, integración y cohesión social, Cumplimiento de derechos universales y la potenciación de las capacidades humanas, Relación armónica con la naturaleza, Convivencia solidaria, fraterna y cooperativa Trabajo y un ocio liberadores, Reconstrucción de lo público, Democracia representativa, participativa y deliberativa, Estado democrático, pluralista y laico) </w:t>
      </w:r>
      <w:r w:rsidRPr="002E3460">
        <w:rPr>
          <w:rFonts w:ascii="Times New Roman" w:hAnsi="Times New Roman" w:cs="Times New Roman"/>
          <w:sz w:val="24"/>
          <w:szCs w:val="24"/>
        </w:rPr>
        <w:t>y los ocho principios de la LOEPS</w:t>
      </w:r>
      <w:r w:rsidR="00421B99" w:rsidRPr="002E3460">
        <w:rPr>
          <w:rFonts w:ascii="Times New Roman" w:hAnsi="Times New Roman" w:cs="Times New Roman"/>
          <w:sz w:val="24"/>
          <w:szCs w:val="24"/>
        </w:rPr>
        <w:t xml:space="preserve"> (Búsqueda del Buen Vivir y del Bien Común, Prelación del trabajo sobre el capital y los intereses colectivos sobre los individuales, Comercio justo, ético y responsable, Equidad de género Respeto a la identidad cultura, Autogestión, Responsabilidad social y ambiental, la solidaridad y rendición de cuentas)</w:t>
      </w:r>
      <w:r w:rsidR="00694E3E" w:rsidRPr="002E3460">
        <w:rPr>
          <w:rFonts w:ascii="Times New Roman" w:hAnsi="Times New Roman" w:cs="Times New Roman"/>
          <w:sz w:val="24"/>
          <w:szCs w:val="24"/>
        </w:rPr>
        <w:t>.</w:t>
      </w:r>
    </w:p>
    <w:p w:rsidR="0014327A" w:rsidRPr="002E3460" w:rsidRDefault="0014327A"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Los informes del balance social de las entidades de la EPS y del  Sistema de Finanzas Populares y Solidarias deben estar incorporados a los informes de gestión, de tal manera que se evidencie el cumplimiento de los “los principios y sus objetivos sociales, en cuanto a la preservación de su identidad, su incidencia en el desarrollo social y comunitario, impacto ambiental, educativo y cultural” (p</w:t>
      </w:r>
      <w:r w:rsidR="0095422F">
        <w:rPr>
          <w:rFonts w:ascii="Times New Roman" w:hAnsi="Times New Roman" w:cs="Times New Roman"/>
          <w:sz w:val="24"/>
          <w:szCs w:val="24"/>
        </w:rPr>
        <w:t>.</w:t>
      </w:r>
      <w:r w:rsidRPr="002E3460">
        <w:rPr>
          <w:rFonts w:ascii="Times New Roman" w:hAnsi="Times New Roman" w:cs="Times New Roman"/>
          <w:sz w:val="24"/>
          <w:szCs w:val="24"/>
        </w:rPr>
        <w:t xml:space="preserve"> 39).</w:t>
      </w:r>
    </w:p>
    <w:p w:rsidR="002D53AA" w:rsidRDefault="002D53AA" w:rsidP="00D04635">
      <w:pPr>
        <w:spacing w:line="360" w:lineRule="auto"/>
        <w:jc w:val="both"/>
        <w:rPr>
          <w:rFonts w:ascii="Times New Roman" w:hAnsi="Times New Roman" w:cs="Times New Roman"/>
          <w:b/>
          <w:sz w:val="24"/>
          <w:szCs w:val="24"/>
          <w:lang w:val="es-ES"/>
        </w:rPr>
      </w:pPr>
    </w:p>
    <w:p w:rsidR="00556842" w:rsidRPr="002E3460" w:rsidRDefault="00556842" w:rsidP="00D04635">
      <w:pPr>
        <w:spacing w:line="360" w:lineRule="auto"/>
        <w:jc w:val="both"/>
        <w:rPr>
          <w:rFonts w:ascii="Times New Roman" w:hAnsi="Times New Roman" w:cs="Times New Roman"/>
          <w:b/>
          <w:sz w:val="24"/>
          <w:szCs w:val="24"/>
          <w:lang w:val="es-ES"/>
        </w:rPr>
      </w:pPr>
      <w:r w:rsidRPr="002E3460">
        <w:rPr>
          <w:rFonts w:ascii="Times New Roman" w:hAnsi="Times New Roman" w:cs="Times New Roman"/>
          <w:b/>
          <w:sz w:val="24"/>
          <w:szCs w:val="24"/>
          <w:lang w:val="es-ES"/>
        </w:rPr>
        <w:t>Metodología</w:t>
      </w:r>
    </w:p>
    <w:p w:rsidR="00556842" w:rsidRPr="002E3460" w:rsidRDefault="0095422F" w:rsidP="00D04635">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utilizada e</w:t>
      </w:r>
      <w:r w:rsidR="00556842" w:rsidRPr="002E3460">
        <w:rPr>
          <w:rFonts w:ascii="Times New Roman" w:hAnsi="Times New Roman" w:cs="Times New Roman"/>
          <w:sz w:val="24"/>
          <w:szCs w:val="24"/>
        </w:rPr>
        <w:t xml:space="preserve">s una investigación de enfoque cualitativo y cuantitativo, </w:t>
      </w:r>
      <w:r w:rsidR="004A14E2">
        <w:rPr>
          <w:rFonts w:ascii="Times New Roman" w:hAnsi="Times New Roman" w:cs="Times New Roman"/>
          <w:sz w:val="24"/>
          <w:szCs w:val="24"/>
        </w:rPr>
        <w:t>apoyada con un</w:t>
      </w:r>
      <w:r w:rsidR="00556842" w:rsidRPr="002E3460">
        <w:rPr>
          <w:rFonts w:ascii="Times New Roman" w:hAnsi="Times New Roman" w:cs="Times New Roman"/>
          <w:sz w:val="24"/>
          <w:szCs w:val="24"/>
        </w:rPr>
        <w:t xml:space="preserve"> trabajo de campo</w:t>
      </w:r>
      <w:r w:rsidR="004A14E2">
        <w:rPr>
          <w:rFonts w:ascii="Times New Roman" w:hAnsi="Times New Roman" w:cs="Times New Roman"/>
          <w:sz w:val="24"/>
          <w:szCs w:val="24"/>
        </w:rPr>
        <w:t xml:space="preserve">. </w:t>
      </w:r>
      <w:r w:rsidR="00556842" w:rsidRPr="002E3460">
        <w:rPr>
          <w:rFonts w:ascii="Times New Roman" w:hAnsi="Times New Roman" w:cs="Times New Roman"/>
          <w:sz w:val="24"/>
          <w:szCs w:val="24"/>
        </w:rPr>
        <w:t>Las técnicas de investigación, medios y herramientas para acceder a la información, permitieron establecer</w:t>
      </w:r>
      <w:r w:rsidR="004A14E2">
        <w:rPr>
          <w:rFonts w:ascii="Times New Roman" w:hAnsi="Times New Roman" w:cs="Times New Roman"/>
          <w:sz w:val="24"/>
          <w:szCs w:val="24"/>
        </w:rPr>
        <w:t>, entre otras cosas,</w:t>
      </w:r>
      <w:r w:rsidR="00556842" w:rsidRPr="002E3460">
        <w:rPr>
          <w:rFonts w:ascii="Times New Roman" w:hAnsi="Times New Roman" w:cs="Times New Roman"/>
          <w:sz w:val="24"/>
          <w:szCs w:val="24"/>
        </w:rPr>
        <w:t xml:space="preserve"> el nivel de conocimiento por parte de los socios </w:t>
      </w:r>
      <w:r w:rsidR="004A14E2">
        <w:rPr>
          <w:rFonts w:ascii="Times New Roman" w:hAnsi="Times New Roman" w:cs="Times New Roman"/>
          <w:sz w:val="24"/>
          <w:szCs w:val="24"/>
        </w:rPr>
        <w:t xml:space="preserve"> de la Institución </w:t>
      </w:r>
      <w:r w:rsidR="00556842" w:rsidRPr="002E3460">
        <w:rPr>
          <w:rFonts w:ascii="Times New Roman" w:hAnsi="Times New Roman" w:cs="Times New Roman"/>
          <w:sz w:val="24"/>
          <w:szCs w:val="24"/>
        </w:rPr>
        <w:t>sobre el tema de la Responsabilidad Social</w:t>
      </w:r>
      <w:r w:rsidR="004A14E2">
        <w:rPr>
          <w:rFonts w:ascii="Times New Roman" w:hAnsi="Times New Roman" w:cs="Times New Roman"/>
          <w:sz w:val="24"/>
          <w:szCs w:val="24"/>
        </w:rPr>
        <w:t>.</w:t>
      </w:r>
      <w:r w:rsidR="00556842" w:rsidRPr="002E3460">
        <w:rPr>
          <w:rFonts w:ascii="Times New Roman" w:hAnsi="Times New Roman" w:cs="Times New Roman"/>
          <w:sz w:val="24"/>
          <w:szCs w:val="24"/>
        </w:rPr>
        <w:t xml:space="preserve">  </w:t>
      </w:r>
    </w:p>
    <w:p w:rsidR="00556842" w:rsidRPr="002E3460" w:rsidRDefault="00556842"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La técnica de investigación </w:t>
      </w:r>
      <w:r w:rsidR="004A14E2">
        <w:rPr>
          <w:rFonts w:ascii="Times New Roman" w:hAnsi="Times New Roman" w:cs="Times New Roman"/>
          <w:sz w:val="24"/>
          <w:szCs w:val="24"/>
        </w:rPr>
        <w:t>utilizada</w:t>
      </w:r>
      <w:r w:rsidRPr="002E3460">
        <w:rPr>
          <w:rFonts w:ascii="Times New Roman" w:hAnsi="Times New Roman" w:cs="Times New Roman"/>
          <w:sz w:val="24"/>
          <w:szCs w:val="24"/>
        </w:rPr>
        <w:t xml:space="preserve"> fue la encuesta, a través de un cuestionario, </w:t>
      </w:r>
      <w:r w:rsidR="004A14E2">
        <w:rPr>
          <w:rFonts w:ascii="Times New Roman" w:hAnsi="Times New Roman" w:cs="Times New Roman"/>
          <w:sz w:val="24"/>
          <w:szCs w:val="24"/>
        </w:rPr>
        <w:t>aplicada</w:t>
      </w:r>
      <w:r w:rsidRPr="002E3460">
        <w:rPr>
          <w:rFonts w:ascii="Times New Roman" w:hAnsi="Times New Roman" w:cs="Times New Roman"/>
          <w:sz w:val="24"/>
          <w:szCs w:val="24"/>
        </w:rPr>
        <w:t xml:space="preserve"> a socios externos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comprende 11 preguntas cerradas relacionadas con el cumplimiento de los principios cooperativos. Adicionalmente se consolidó el estudio utilizando las Macrodimensiones y Dimensiones a través de indicadores cualitativos y cuantitativos de acuerdo a lineamientos tipificados en el Balance Social de la SEPS.  </w:t>
      </w:r>
    </w:p>
    <w:p w:rsidR="00556842" w:rsidRPr="002E3460" w:rsidRDefault="00556842" w:rsidP="00D04635">
      <w:p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Las fuentes de investigación constituyeron los documentos publicados en organismos como la SEPS, IEPS, CONAFIPS, SENPLADES; fuentes citadas disponibles en medios de información como: bibliotecas, boletines, redes sociales, entre otros; e información proporcionada de documentos primarios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w:t>
      </w:r>
    </w:p>
    <w:p w:rsidR="00FE5ED9" w:rsidRPr="002E3460" w:rsidRDefault="00FE5ED9" w:rsidP="00D04635">
      <w:pPr>
        <w:spacing w:line="360" w:lineRule="auto"/>
        <w:jc w:val="both"/>
        <w:rPr>
          <w:rFonts w:ascii="Times New Roman" w:hAnsi="Times New Roman" w:cs="Times New Roman"/>
          <w:sz w:val="24"/>
          <w:szCs w:val="24"/>
        </w:rPr>
      </w:pPr>
    </w:p>
    <w:p w:rsidR="00FE5ED9" w:rsidRPr="00D7112B" w:rsidRDefault="00B55D0C" w:rsidP="00D04635">
      <w:pPr>
        <w:spacing w:after="0" w:line="360" w:lineRule="auto"/>
        <w:ind w:firstLine="426"/>
        <w:jc w:val="both"/>
        <w:rPr>
          <w:rFonts w:ascii="Times New Roman" w:hAnsi="Times New Roman" w:cs="Times New Roman"/>
          <w:sz w:val="24"/>
          <w:szCs w:val="24"/>
          <w:highlight w:val="yellow"/>
        </w:rPr>
      </w:pPr>
      <w:r>
        <w:rPr>
          <w:rFonts w:ascii="Times New Roman" w:hAnsi="Times New Roman" w:cs="Times New Roman"/>
          <w:sz w:val="24"/>
          <w:szCs w:val="24"/>
          <w:highlight w:val="yellow"/>
        </w:rPr>
        <w:t>Tabla 1</w:t>
      </w:r>
    </w:p>
    <w:p w:rsidR="00FE5ED9" w:rsidRPr="002E3460" w:rsidRDefault="00FE5ED9" w:rsidP="00D04635">
      <w:pPr>
        <w:pStyle w:val="Descripcin"/>
        <w:spacing w:after="0" w:line="360" w:lineRule="auto"/>
        <w:rPr>
          <w:i w:val="0"/>
          <w:sz w:val="24"/>
          <w:szCs w:val="24"/>
        </w:rPr>
      </w:pPr>
      <w:r w:rsidRPr="00D7112B">
        <w:rPr>
          <w:color w:val="auto"/>
          <w:sz w:val="24"/>
          <w:szCs w:val="24"/>
          <w:highlight w:val="yellow"/>
        </w:rPr>
        <w:t xml:space="preserve">Número de socios y clientes activos de la </w:t>
      </w:r>
      <w:r w:rsidR="007D0FE8">
        <w:rPr>
          <w:color w:val="auto"/>
          <w:sz w:val="24"/>
          <w:szCs w:val="24"/>
          <w:highlight w:val="yellow"/>
        </w:rPr>
        <w:t xml:space="preserve"> Institución</w:t>
      </w:r>
      <w:r w:rsidRPr="00D7112B">
        <w:rPr>
          <w:color w:val="auto"/>
          <w:sz w:val="24"/>
          <w:szCs w:val="24"/>
          <w:highlight w:val="yellow"/>
        </w:rPr>
        <w:t>.</w:t>
      </w:r>
    </w:p>
    <w:p w:rsidR="00556842" w:rsidRPr="002E3460" w:rsidRDefault="00556842" w:rsidP="00D04635">
      <w:pPr>
        <w:spacing w:line="360" w:lineRule="auto"/>
        <w:jc w:val="both"/>
        <w:rPr>
          <w:rFonts w:ascii="Times New Roman" w:hAnsi="Times New Roman" w:cs="Times New Roman"/>
          <w:sz w:val="24"/>
          <w:szCs w:val="24"/>
        </w:rPr>
      </w:pPr>
    </w:p>
    <w:p w:rsidR="00FE5ED9" w:rsidRPr="002E3460" w:rsidRDefault="00FE5ED9" w:rsidP="00D04635">
      <w:pPr>
        <w:spacing w:line="360" w:lineRule="auto"/>
        <w:ind w:firstLine="426"/>
        <w:jc w:val="both"/>
        <w:rPr>
          <w:rFonts w:ascii="Times New Roman" w:hAnsi="Times New Roman" w:cs="Times New Roman"/>
          <w:sz w:val="24"/>
          <w:szCs w:val="24"/>
        </w:rPr>
      </w:pPr>
      <w:r w:rsidRPr="002E3460">
        <w:rPr>
          <w:rFonts w:ascii="Times New Roman" w:hAnsi="Times New Roman" w:cs="Times New Roman"/>
          <w:sz w:val="24"/>
          <w:szCs w:val="24"/>
        </w:rPr>
        <w:t xml:space="preserve">En relación al tamaño de la población, se definió la misma en 87.751 socios activos correspondiente a </w:t>
      </w:r>
      <w:r w:rsidR="00B55D0C">
        <w:rPr>
          <w:rFonts w:ascii="Times New Roman" w:hAnsi="Times New Roman" w:cs="Times New Roman"/>
          <w:sz w:val="24"/>
          <w:szCs w:val="24"/>
        </w:rPr>
        <w:t>las</w:t>
      </w:r>
      <w:r w:rsidRPr="002E3460">
        <w:rPr>
          <w:rFonts w:ascii="Times New Roman" w:hAnsi="Times New Roman" w:cs="Times New Roman"/>
          <w:sz w:val="24"/>
          <w:szCs w:val="24"/>
        </w:rPr>
        <w:t xml:space="preserve"> agencias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en la ciudad de Quito durante el año 2014 como se observa en la T</w:t>
      </w:r>
      <w:r w:rsidR="00B55D0C">
        <w:rPr>
          <w:rFonts w:ascii="Times New Roman" w:hAnsi="Times New Roman" w:cs="Times New Roman"/>
          <w:sz w:val="24"/>
          <w:szCs w:val="24"/>
        </w:rPr>
        <w:t>abla 1.</w:t>
      </w:r>
    </w:p>
    <w:p w:rsidR="00FE5ED9" w:rsidRPr="002E3460" w:rsidRDefault="00FE5ED9" w:rsidP="00D04635">
      <w:pPr>
        <w:spacing w:line="360" w:lineRule="auto"/>
        <w:ind w:firstLine="426"/>
        <w:jc w:val="both"/>
        <w:rPr>
          <w:rFonts w:ascii="Times New Roman" w:hAnsi="Times New Roman" w:cs="Times New Roman"/>
          <w:sz w:val="24"/>
          <w:szCs w:val="24"/>
        </w:rPr>
      </w:pPr>
      <w:r w:rsidRPr="002E3460">
        <w:rPr>
          <w:rFonts w:ascii="Times New Roman" w:hAnsi="Times New Roman" w:cs="Times New Roman"/>
          <w:sz w:val="24"/>
          <w:szCs w:val="24"/>
        </w:rPr>
        <w:t xml:space="preserve">Para la determinación de la muestra se aplicó la fórmula para población finita, con un margen de error de +/- 5% y nivel de confiabilidad del 95%, lo que arrojó como tamaño muestral la cantidad de 400 encuestas, de acuerdo a la Tabla </w:t>
      </w:r>
      <w:r w:rsidR="00B55D0C">
        <w:rPr>
          <w:rFonts w:ascii="Times New Roman" w:hAnsi="Times New Roman" w:cs="Times New Roman"/>
          <w:sz w:val="24"/>
          <w:szCs w:val="24"/>
        </w:rPr>
        <w:t>2</w:t>
      </w:r>
      <w:r w:rsidRPr="002E3460">
        <w:rPr>
          <w:rFonts w:ascii="Times New Roman" w:hAnsi="Times New Roman" w:cs="Times New Roman"/>
          <w:sz w:val="24"/>
          <w:szCs w:val="24"/>
        </w:rPr>
        <w:t xml:space="preserve">. Éstas se realizaron en el mes de julio del año 2015, en diversas horas del día y agencias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de la ciudad. </w:t>
      </w:r>
    </w:p>
    <w:p w:rsidR="00FE5ED9" w:rsidRPr="002E3460" w:rsidRDefault="00FE5ED9" w:rsidP="00D04635">
      <w:pPr>
        <w:autoSpaceDE w:val="0"/>
        <w:autoSpaceDN w:val="0"/>
        <w:adjustRightInd w:val="0"/>
        <w:spacing w:after="120" w:line="360" w:lineRule="auto"/>
        <w:jc w:val="both"/>
        <w:rPr>
          <w:rFonts w:ascii="Times New Roman" w:eastAsiaTheme="minorEastAsia" w:hAnsi="Times New Roman" w:cs="Times New Roman"/>
          <w:b/>
          <w:color w:val="000000"/>
          <w:sz w:val="24"/>
          <w:szCs w:val="24"/>
        </w:rPr>
      </w:pPr>
      <m:oMathPara>
        <m:oMathParaPr>
          <m:jc m:val="left"/>
        </m:oMathParaPr>
        <m:oMath>
          <m:r>
            <m:rPr>
              <m:sty m:val="bi"/>
            </m:rPr>
            <w:rPr>
              <w:rFonts w:ascii="Cambria Math" w:hAnsi="Cambria Math" w:cs="Times New Roman"/>
              <w:color w:val="000000"/>
              <w:sz w:val="24"/>
              <w:szCs w:val="24"/>
            </w:rPr>
            <m:t xml:space="preserve">n= </m:t>
          </m:r>
          <m:f>
            <m:fPr>
              <m:ctrlPr>
                <w:rPr>
                  <w:rFonts w:ascii="Cambria Math" w:hAnsi="Cambria Math" w:cs="Times New Roman"/>
                  <w:b/>
                  <w:i/>
                  <w:color w:val="000000"/>
                  <w:sz w:val="24"/>
                  <w:szCs w:val="24"/>
                </w:rPr>
              </m:ctrlPr>
            </m:fPr>
            <m:num>
              <m:sSup>
                <m:sSupPr>
                  <m:ctrlPr>
                    <w:rPr>
                      <w:rFonts w:ascii="Cambria Math" w:hAnsi="Cambria Math" w:cs="Times New Roman"/>
                      <w:b/>
                      <w:i/>
                      <w:color w:val="000000"/>
                      <w:sz w:val="24"/>
                      <w:szCs w:val="24"/>
                    </w:rPr>
                  </m:ctrlPr>
                </m:sSup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Z</m:t>
                      </m:r>
                    </m:e>
                    <m:sub>
                      <m:r>
                        <m:rPr>
                          <m:sty m:val="bi"/>
                        </m:rPr>
                        <w:rPr>
                          <w:rFonts w:ascii="Cambria Math" w:hAnsi="Cambria Math" w:cs="Times New Roman"/>
                          <w:color w:val="000000"/>
                          <w:sz w:val="24"/>
                          <w:szCs w:val="24"/>
                        </w:rPr>
                        <m:t>∝</m:t>
                      </m:r>
                    </m:sub>
                  </m:sSub>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pqN</m:t>
              </m:r>
            </m:num>
            <m:den>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E</m:t>
                  </m:r>
                </m:e>
                <m:sup>
                  <m:r>
                    <m:rPr>
                      <m:sty m:val="bi"/>
                    </m:rPr>
                    <w:rPr>
                      <w:rFonts w:ascii="Cambria Math" w:hAnsi="Cambria Math" w:cs="Times New Roman"/>
                      <w:color w:val="000000"/>
                      <w:sz w:val="24"/>
                      <w:szCs w:val="24"/>
                    </w:rPr>
                    <m:t>2</m:t>
                  </m:r>
                </m:sup>
              </m:sSup>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N-1</m:t>
                  </m:r>
                </m:e>
              </m:d>
              <m:r>
                <m:rPr>
                  <m:sty m:val="bi"/>
                </m:rPr>
                <w:rPr>
                  <w:rFonts w:ascii="Cambria Math" w:hAnsi="Cambria Math" w:cs="Times New Roman"/>
                  <w:color w:val="000000"/>
                  <w:sz w:val="24"/>
                  <w:szCs w:val="24"/>
                </w:rPr>
                <m:t>+</m:t>
              </m:r>
              <m:sSup>
                <m:sSupPr>
                  <m:ctrlPr>
                    <w:rPr>
                      <w:rFonts w:ascii="Cambria Math" w:hAnsi="Cambria Math" w:cs="Times New Roman"/>
                      <w:b/>
                      <w:i/>
                      <w:color w:val="000000"/>
                      <w:sz w:val="24"/>
                      <w:szCs w:val="24"/>
                    </w:rPr>
                  </m:ctrlPr>
                </m:sSup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Z</m:t>
                      </m:r>
                    </m:e>
                    <m:sub>
                      <m:r>
                        <m:rPr>
                          <m:sty m:val="bi"/>
                        </m:rPr>
                        <w:rPr>
                          <w:rFonts w:ascii="Cambria Math" w:hAnsi="Cambria Math" w:cs="Times New Roman"/>
                          <w:color w:val="000000"/>
                          <w:sz w:val="24"/>
                          <w:szCs w:val="24"/>
                        </w:rPr>
                        <m:t>∝</m:t>
                      </m:r>
                    </m:sub>
                  </m:sSub>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pq</m:t>
              </m:r>
            </m:den>
          </m:f>
        </m:oMath>
      </m:oMathPara>
    </w:p>
    <w:p w:rsidR="00FE5ED9" w:rsidRPr="002E3460" w:rsidRDefault="00FE5ED9" w:rsidP="00D04635">
      <w:pPr>
        <w:autoSpaceDE w:val="0"/>
        <w:autoSpaceDN w:val="0"/>
        <w:adjustRightInd w:val="0"/>
        <w:spacing w:after="120" w:line="360" w:lineRule="auto"/>
        <w:jc w:val="both"/>
        <w:rPr>
          <w:rFonts w:ascii="Times New Roman" w:eastAsiaTheme="minorEastAsia" w:hAnsi="Times New Roman" w:cs="Times New Roman"/>
          <w:b/>
          <w:color w:val="000000"/>
          <w:sz w:val="24"/>
          <w:szCs w:val="24"/>
        </w:rPr>
      </w:pPr>
      <m:oMathPara>
        <m:oMathParaPr>
          <m:jc m:val="left"/>
        </m:oMathParaPr>
        <m:oMath>
          <m:r>
            <m:rPr>
              <m:sty m:val="bi"/>
            </m:rPr>
            <w:rPr>
              <w:rFonts w:ascii="Cambria Math" w:hAnsi="Cambria Math" w:cs="Times New Roman"/>
              <w:color w:val="000000"/>
              <w:sz w:val="24"/>
              <w:szCs w:val="24"/>
            </w:rPr>
            <m:t xml:space="preserve">n= </m:t>
          </m:r>
          <m:f>
            <m:fPr>
              <m:ctrlPr>
                <w:rPr>
                  <w:rFonts w:ascii="Cambria Math" w:hAnsi="Cambria Math" w:cs="Times New Roman"/>
                  <w:b/>
                  <w:i/>
                  <w:color w:val="000000"/>
                  <w:sz w:val="24"/>
                  <w:szCs w:val="24"/>
                </w:rPr>
              </m:ctrlPr>
            </m:fPr>
            <m:num>
              <m:sSup>
                <m:sSupPr>
                  <m:ctrlPr>
                    <w:rPr>
                      <w:rFonts w:ascii="Cambria Math" w:hAnsi="Cambria Math" w:cs="Times New Roman"/>
                      <w:b/>
                      <w:i/>
                      <w:color w:val="000000"/>
                      <w:sz w:val="24"/>
                      <w:szCs w:val="24"/>
                    </w:rPr>
                  </m:ctrlPr>
                </m:sSupPr>
                <m:e>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1.96</m:t>
                      </m:r>
                    </m:e>
                  </m:d>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(0.5)(0.5)(87.751)</m:t>
              </m:r>
            </m:num>
            <m:den>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(0.05)</m:t>
                  </m:r>
                </m:e>
                <m:sup>
                  <m:r>
                    <m:rPr>
                      <m:sty m:val="bi"/>
                    </m:rPr>
                    <w:rPr>
                      <w:rFonts w:ascii="Cambria Math" w:hAnsi="Cambria Math" w:cs="Times New Roman"/>
                      <w:color w:val="000000"/>
                      <w:sz w:val="24"/>
                      <w:szCs w:val="24"/>
                    </w:rPr>
                    <m:t>2</m:t>
                  </m:r>
                </m:sup>
              </m:sSup>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87.751-1</m:t>
                  </m:r>
                </m:e>
              </m:d>
              <m:r>
                <m:rPr>
                  <m:sty m:val="bi"/>
                </m:rPr>
                <w:rPr>
                  <w:rFonts w:ascii="Cambria Math" w:hAnsi="Cambria Math" w:cs="Times New Roman"/>
                  <w:color w:val="000000"/>
                  <w:sz w:val="24"/>
                  <w:szCs w:val="24"/>
                </w:rPr>
                <m:t>+</m:t>
              </m:r>
              <m:sSup>
                <m:sSupPr>
                  <m:ctrlPr>
                    <w:rPr>
                      <w:rFonts w:ascii="Cambria Math" w:hAnsi="Cambria Math" w:cs="Times New Roman"/>
                      <w:b/>
                      <w:i/>
                      <w:color w:val="000000"/>
                      <w:sz w:val="24"/>
                      <w:szCs w:val="24"/>
                    </w:rPr>
                  </m:ctrlPr>
                </m:sSupPr>
                <m:e>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1.96</m:t>
                      </m:r>
                    </m:e>
                  </m:d>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(0.5)(0.5)</m:t>
              </m:r>
            </m:den>
          </m:f>
          <m:r>
            <m:rPr>
              <m:sty m:val="bi"/>
            </m:rPr>
            <w:rPr>
              <w:rFonts w:ascii="Cambria Math" w:hAnsi="Cambria Math" w:cs="Times New Roman"/>
              <w:color w:val="000000"/>
              <w:sz w:val="24"/>
              <w:szCs w:val="24"/>
            </w:rPr>
            <m:t>=400</m:t>
          </m:r>
        </m:oMath>
      </m:oMathPara>
    </w:p>
    <w:p w:rsidR="00FE5ED9" w:rsidRPr="002E3460" w:rsidRDefault="00FE5ED9" w:rsidP="00D04635">
      <w:pPr>
        <w:autoSpaceDE w:val="0"/>
        <w:autoSpaceDN w:val="0"/>
        <w:adjustRightInd w:val="0"/>
        <w:spacing w:after="120" w:line="360" w:lineRule="auto"/>
        <w:jc w:val="both"/>
        <w:rPr>
          <w:rFonts w:ascii="Times New Roman" w:eastAsiaTheme="minorEastAsia" w:hAnsi="Times New Roman" w:cs="Times New Roman"/>
          <w:b/>
          <w:color w:val="000000"/>
          <w:sz w:val="24"/>
          <w:szCs w:val="24"/>
        </w:rPr>
      </w:pPr>
    </w:p>
    <w:p w:rsidR="00FE5ED9" w:rsidRPr="00B55D0C" w:rsidRDefault="00B55D0C" w:rsidP="00D04635">
      <w:pPr>
        <w:spacing w:after="0" w:line="360" w:lineRule="auto"/>
        <w:jc w:val="both"/>
        <w:rPr>
          <w:rFonts w:ascii="Times New Roman" w:hAnsi="Times New Roman" w:cs="Times New Roman"/>
          <w:sz w:val="24"/>
          <w:szCs w:val="24"/>
          <w:highlight w:val="yellow"/>
        </w:rPr>
      </w:pPr>
      <w:bookmarkStart w:id="0" w:name="_Toc437444653"/>
      <w:r>
        <w:rPr>
          <w:rFonts w:ascii="Times New Roman" w:hAnsi="Times New Roman" w:cs="Times New Roman"/>
          <w:sz w:val="24"/>
          <w:szCs w:val="24"/>
          <w:highlight w:val="yellow"/>
        </w:rPr>
        <w:t>Tabla 2</w:t>
      </w:r>
    </w:p>
    <w:p w:rsidR="00FE5ED9" w:rsidRPr="002E3460" w:rsidRDefault="00FE5ED9" w:rsidP="00D04635">
      <w:pPr>
        <w:spacing w:after="0" w:line="360" w:lineRule="auto"/>
        <w:jc w:val="both"/>
        <w:rPr>
          <w:rFonts w:ascii="Times New Roman" w:eastAsiaTheme="minorEastAsia" w:hAnsi="Times New Roman" w:cs="Times New Roman"/>
          <w:b/>
          <w:color w:val="000000"/>
          <w:sz w:val="24"/>
          <w:szCs w:val="24"/>
        </w:rPr>
      </w:pPr>
      <w:r w:rsidRPr="00B55D0C">
        <w:rPr>
          <w:rFonts w:ascii="Times New Roman" w:hAnsi="Times New Roman" w:cs="Times New Roman"/>
          <w:i/>
          <w:sz w:val="24"/>
          <w:szCs w:val="24"/>
          <w:highlight w:val="yellow"/>
        </w:rPr>
        <w:t>Variables para el cálculo del tamaño de la muestra</w:t>
      </w:r>
      <w:bookmarkEnd w:id="0"/>
    </w:p>
    <w:p w:rsidR="00FE5ED9" w:rsidRPr="002E3460" w:rsidRDefault="00FE5ED9" w:rsidP="00D04635">
      <w:pPr>
        <w:autoSpaceDE w:val="0"/>
        <w:autoSpaceDN w:val="0"/>
        <w:adjustRightInd w:val="0"/>
        <w:spacing w:after="120" w:line="360" w:lineRule="auto"/>
        <w:jc w:val="both"/>
        <w:rPr>
          <w:rFonts w:ascii="Times New Roman" w:eastAsiaTheme="minorEastAsia" w:hAnsi="Times New Roman" w:cs="Times New Roman"/>
          <w:b/>
          <w:sz w:val="24"/>
          <w:szCs w:val="24"/>
        </w:rPr>
      </w:pPr>
    </w:p>
    <w:p w:rsidR="00FE5ED9" w:rsidRPr="002E3460" w:rsidRDefault="00FE5ED9" w:rsidP="00D04635">
      <w:pPr>
        <w:pStyle w:val="Prrafodelista"/>
        <w:spacing w:after="0" w:line="360" w:lineRule="auto"/>
        <w:ind w:left="360"/>
        <w:jc w:val="both"/>
        <w:rPr>
          <w:rFonts w:ascii="Times New Roman" w:hAnsi="Times New Roman" w:cs="Times New Roman"/>
          <w:sz w:val="24"/>
          <w:szCs w:val="24"/>
        </w:rPr>
      </w:pPr>
    </w:p>
    <w:p w:rsidR="00FE5ED9" w:rsidRDefault="00FE5ED9" w:rsidP="00D04635">
      <w:pPr>
        <w:pStyle w:val="Prrafodelista"/>
        <w:spacing w:after="0" w:line="360" w:lineRule="auto"/>
        <w:ind w:left="360"/>
        <w:jc w:val="both"/>
        <w:rPr>
          <w:rFonts w:ascii="Times New Roman" w:hAnsi="Times New Roman" w:cs="Times New Roman"/>
          <w:sz w:val="24"/>
          <w:szCs w:val="24"/>
        </w:rPr>
      </w:pPr>
      <w:r w:rsidRPr="002E3460">
        <w:rPr>
          <w:rFonts w:ascii="Times New Roman" w:hAnsi="Times New Roman" w:cs="Times New Roman"/>
          <w:sz w:val="24"/>
          <w:szCs w:val="24"/>
        </w:rPr>
        <w:t>RESULTADOS</w:t>
      </w:r>
    </w:p>
    <w:p w:rsidR="00C61198" w:rsidRPr="002E3460" w:rsidRDefault="00C61198" w:rsidP="00D04635">
      <w:pPr>
        <w:pStyle w:val="Prrafodelista"/>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Para la presentación  de resultados se han establecido dos enfoques, el primero se asocia con los resultados obtenidos de los encuestados, y el análisis de las </w:t>
      </w:r>
      <w:proofErr w:type="spellStart"/>
      <w:r>
        <w:rPr>
          <w:rFonts w:ascii="Times New Roman" w:hAnsi="Times New Roman" w:cs="Times New Roman"/>
          <w:sz w:val="24"/>
          <w:szCs w:val="24"/>
        </w:rPr>
        <w:t>macrodimensiones</w:t>
      </w:r>
      <w:proofErr w:type="spellEnd"/>
      <w:r>
        <w:rPr>
          <w:rFonts w:ascii="Times New Roman" w:hAnsi="Times New Roman" w:cs="Times New Roman"/>
          <w:sz w:val="24"/>
          <w:szCs w:val="24"/>
        </w:rPr>
        <w:t xml:space="preserve">. </w:t>
      </w:r>
    </w:p>
    <w:p w:rsidR="00FE5ED9" w:rsidRPr="002E3460" w:rsidRDefault="00FE5ED9" w:rsidP="00D04635">
      <w:pPr>
        <w:spacing w:after="0" w:line="360" w:lineRule="auto"/>
        <w:ind w:firstLine="426"/>
        <w:jc w:val="both"/>
        <w:rPr>
          <w:rFonts w:ascii="Times New Roman" w:hAnsi="Times New Roman" w:cs="Times New Roman"/>
          <w:sz w:val="24"/>
          <w:szCs w:val="24"/>
        </w:rPr>
      </w:pPr>
    </w:p>
    <w:p w:rsidR="00FE5ED9" w:rsidRPr="002E3460" w:rsidRDefault="00FE5ED9" w:rsidP="00D04635">
      <w:pPr>
        <w:pStyle w:val="Prrafodelista"/>
        <w:numPr>
          <w:ilvl w:val="0"/>
          <w:numId w:val="5"/>
        </w:numPr>
        <w:spacing w:after="200" w:line="360" w:lineRule="auto"/>
        <w:jc w:val="both"/>
        <w:rPr>
          <w:rFonts w:ascii="Times New Roman" w:hAnsi="Times New Roman" w:cs="Times New Roman"/>
          <w:i/>
          <w:sz w:val="24"/>
          <w:szCs w:val="24"/>
        </w:rPr>
      </w:pPr>
      <w:r w:rsidRPr="002E3460">
        <w:rPr>
          <w:rFonts w:ascii="Times New Roman" w:hAnsi="Times New Roman" w:cs="Times New Roman"/>
          <w:i/>
          <w:sz w:val="24"/>
          <w:szCs w:val="24"/>
        </w:rPr>
        <w:t>Obtenidos de las encuestas a los socios externos</w:t>
      </w:r>
    </w:p>
    <w:p w:rsidR="00FE5ED9" w:rsidRPr="002E3460" w:rsidRDefault="00FE5ED9" w:rsidP="00D04635">
      <w:pPr>
        <w:pStyle w:val="Prrafodelista"/>
        <w:numPr>
          <w:ilvl w:val="0"/>
          <w:numId w:val="4"/>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La responsabilidad asociativa, medida a través del conocimiento cooperativo del socio que tiene sobre sus derechos y obligaciones con la entidad, la califican en un 47% como buena y el 19% como muy buena. </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4"/>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lastRenderedPageBreak/>
        <w:t xml:space="preserve">A pesar de que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se esfuerza en brindar información a sus socios, el 75% desconoce sobre lo que significa la Asamblea General de Socios, en igual proporción no sabe sobre temas tratados en los Consejos de Administración vinculados con proyectos, decisiones, etc. </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4"/>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 En relación a los canales de recepción de la información por parte de los socios, se indica que un 36% no conoce sobre la marcha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y un 27% lo obtiene a través de medios formales, esto es: anuncios escritos, memos, reuniones informativas, entre otros. </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4"/>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En cuanto a la política social interna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se investigó la opinión sobre los servicios sociales que la entidad les brinda a sus socios, tales como alimentación, salud, seguros, etc., comparados con otros similares ofrecidos en el mercado y se concluyó que a pesar de que un 32% de los encuestados no conocen sobre la prestación de estos servicios, la mayor parte lo califican en general como bueno a la calidad del servicio ofrecido por parte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4"/>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Dentro de la política educativa y la contribución para el desarrollo comunitario por parte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para sus socios, relacionadas con actividades de educación, capacitación e información; se investigó que el 54% de los encuestados no saben sobre la existencia de actividades educativas, culturales y deportivas, así como el 37% desconocen sobre las actividades vinculadas con la comunidad y la protección del medio ambiente. </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5"/>
        </w:numPr>
        <w:spacing w:after="200" w:line="360" w:lineRule="auto"/>
        <w:jc w:val="both"/>
        <w:rPr>
          <w:rFonts w:ascii="Times New Roman" w:hAnsi="Times New Roman" w:cs="Times New Roman"/>
          <w:i/>
          <w:sz w:val="24"/>
          <w:szCs w:val="24"/>
        </w:rPr>
      </w:pPr>
      <w:r w:rsidRPr="002E3460">
        <w:rPr>
          <w:rFonts w:ascii="Times New Roman" w:hAnsi="Times New Roman" w:cs="Times New Roman"/>
          <w:i/>
          <w:sz w:val="24"/>
          <w:szCs w:val="24"/>
        </w:rPr>
        <w:t>Análisis de las Macrodimensiones</w:t>
      </w:r>
    </w:p>
    <w:p w:rsidR="00FE5ED9" w:rsidRPr="002E3460" w:rsidRDefault="00FE5ED9" w:rsidP="00D04635">
      <w:pPr>
        <w:pStyle w:val="Prrafodelista"/>
        <w:spacing w:line="360" w:lineRule="auto"/>
        <w:ind w:left="360"/>
        <w:jc w:val="both"/>
        <w:rPr>
          <w:rFonts w:ascii="Times New Roman" w:hAnsi="Times New Roman" w:cs="Times New Roman"/>
          <w:i/>
          <w:sz w:val="24"/>
          <w:szCs w:val="24"/>
        </w:rPr>
      </w:pPr>
    </w:p>
    <w:p w:rsidR="00FE5ED9" w:rsidRPr="002E3460" w:rsidRDefault="00FE5ED9" w:rsidP="00D04635">
      <w:pPr>
        <w:pStyle w:val="Prrafodelista"/>
        <w:numPr>
          <w:ilvl w:val="0"/>
          <w:numId w:val="6"/>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De los datos proporcionados por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sobre el indicador empleos generados, entre el año 2013 y 2014 se generaron 95 nuevas plazas de trabajo. Para el año 2013 la población de trabajadores de la entidad fue de 459 empleados y para el año 2014 fue de 554 empleados, lo que determina que desde el año 2013 al 2014 la generación de empleos nuevos se incrementó en un 21%.</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lastRenderedPageBreak/>
        <w:t xml:space="preserve">Con respecto al indicador Rotación y Estabilidad Laboral se evalúa la participación de género, entre el año 2013 y 2014 el número de trabajadores hombres aumentó en 29,4% y el número de trabajadores mujeres aumentó en 14,7%, de esta forma en el año 2014, el 56% de los trabajadores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son mujeres y el 44% hombres.</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indicador Prelación de los Intereses Colectivos sobre los Individuales, se refiere a los servicios de salud entregados a los socios por parte de la </w:t>
      </w:r>
      <w:r w:rsidR="005B762C">
        <w:rPr>
          <w:rFonts w:ascii="Times New Roman" w:hAnsi="Times New Roman" w:cs="Times New Roman"/>
          <w:sz w:val="24"/>
          <w:szCs w:val="24"/>
        </w:rPr>
        <w:t>Institución</w:t>
      </w:r>
      <w:r w:rsidR="004279DE">
        <w:rPr>
          <w:rFonts w:ascii="Times New Roman" w:hAnsi="Times New Roman" w:cs="Times New Roman"/>
          <w:sz w:val="24"/>
          <w:szCs w:val="24"/>
        </w:rPr>
        <w:t xml:space="preserve"> durante el período de </w:t>
      </w:r>
      <w:r w:rsidRPr="002E3460">
        <w:rPr>
          <w:rFonts w:ascii="Times New Roman" w:hAnsi="Times New Roman" w:cs="Times New Roman"/>
          <w:sz w:val="24"/>
          <w:szCs w:val="24"/>
        </w:rPr>
        <w:t xml:space="preserve">estudio, 2013-2014. </w:t>
      </w:r>
      <w:r w:rsidR="004279DE">
        <w:rPr>
          <w:rFonts w:ascii="Times New Roman" w:hAnsi="Times New Roman" w:cs="Times New Roman"/>
          <w:sz w:val="24"/>
          <w:szCs w:val="24"/>
        </w:rPr>
        <w:t>El indicador mencionado está</w:t>
      </w:r>
      <w:r w:rsidRPr="002E3460">
        <w:rPr>
          <w:rFonts w:ascii="Times New Roman" w:hAnsi="Times New Roman" w:cs="Times New Roman"/>
          <w:sz w:val="24"/>
          <w:szCs w:val="24"/>
        </w:rPr>
        <w:t xml:space="preserve"> relacionado con los montos referentes a Programas de salud (preventiva y pre pagada) con un incremento del 3%; Programas de bienestar social entregados a socios, clientes y sus familiares por seguros con un incremento del 2,8%; reembolsos cubiertos por servicios médicos y odontológicos con un incremento del 18,4% y Programas de seguro exequial con un aumento del 45,3%.</w:t>
      </w:r>
    </w:p>
    <w:p w:rsidR="00FE5ED9" w:rsidRPr="002E3460" w:rsidRDefault="00FE5ED9" w:rsidP="00D04635">
      <w:pPr>
        <w:pStyle w:val="Prrafodelista"/>
        <w:spacing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La variación de ingresos de nuevos socios en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es muy baja, pues apenas representa el 3% entre los años 2013 y 2014.  Con respecto al indicador Accesibilidad Asociativa y Cooperativa se evalúa la aceptación de cada socio sin discriminación de género, raza, religión, etc. La cantidad de socios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en el año 2014 fue 254.989, de los cuales 137.660 son hombres, 89.929 son mujeres y 312 personas jurídicas. La variación de ingresos de nuevos socios refleja valores negativos en relación a los años 2013 y 2014. Así mismo el valor de los certificados de aportación m</w:t>
      </w:r>
      <w:r w:rsidR="004279DE">
        <w:rPr>
          <w:rFonts w:ascii="Times New Roman" w:hAnsi="Times New Roman" w:cs="Times New Roman"/>
          <w:sz w:val="24"/>
          <w:szCs w:val="24"/>
        </w:rPr>
        <w:t>ínimos y obligatorios fue $60, é</w:t>
      </w:r>
      <w:r w:rsidRPr="002E3460">
        <w:rPr>
          <w:rFonts w:ascii="Times New Roman" w:hAnsi="Times New Roman" w:cs="Times New Roman"/>
          <w:sz w:val="24"/>
          <w:szCs w:val="24"/>
        </w:rPr>
        <w:t>ste valor representa lo que todo nuevo socio debe poseer para ingresar a la entidad. En relación al indicador retiro de socios, hubo un aumento del 2% entre el año 2013 y 2014, las causas principales fueron por renuncia voluntaria y exclusión por fallecimiento. Las socias mujeres representaron el 9% y los hombres el 2%.</w:t>
      </w:r>
    </w:p>
    <w:p w:rsidR="00FE5ED9" w:rsidRPr="002E3460" w:rsidRDefault="00FE5ED9" w:rsidP="00D04635">
      <w:pPr>
        <w:pStyle w:val="Prrafodelista"/>
        <w:spacing w:after="0"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0" w:line="360" w:lineRule="auto"/>
        <w:jc w:val="both"/>
        <w:rPr>
          <w:rFonts w:ascii="Times New Roman" w:hAnsi="Times New Roman" w:cs="Times New Roman"/>
          <w:sz w:val="24"/>
          <w:szCs w:val="24"/>
        </w:rPr>
      </w:pPr>
      <w:r w:rsidRPr="002E3460">
        <w:rPr>
          <w:rFonts w:ascii="Times New Roman" w:hAnsi="Times New Roman" w:cs="Times New Roman"/>
          <w:sz w:val="24"/>
          <w:szCs w:val="24"/>
        </w:rPr>
        <w:t>El Indicador Valor Agregado Cooperativo</w:t>
      </w:r>
      <w:r w:rsidR="004279DE">
        <w:rPr>
          <w:rFonts w:ascii="Times New Roman" w:hAnsi="Times New Roman" w:cs="Times New Roman"/>
          <w:sz w:val="24"/>
          <w:szCs w:val="24"/>
        </w:rPr>
        <w:t xml:space="preserve"> (VAC)</w:t>
      </w:r>
      <w:r w:rsidRPr="002E3460">
        <w:rPr>
          <w:rFonts w:ascii="Times New Roman" w:hAnsi="Times New Roman" w:cs="Times New Roman"/>
          <w:sz w:val="24"/>
          <w:szCs w:val="24"/>
        </w:rPr>
        <w:t xml:space="preserve"> correspondiente al año 2014, indica cómo se reparte dicho valor entre los diferentes involucrados, los Trabajadores a través de sus salarios y otros beneficios sociales representa el 70%, los Socios el 15%, la Comunidad el 9%, el Sector Financiero el 4% y el Patrimonio Común el 2%.  En la investigación se llegó a determinar</w:t>
      </w:r>
      <w:r w:rsidR="004279DE">
        <w:rPr>
          <w:rFonts w:ascii="Times New Roman" w:hAnsi="Times New Roman" w:cs="Times New Roman"/>
          <w:sz w:val="24"/>
          <w:szCs w:val="24"/>
        </w:rPr>
        <w:t xml:space="preserve"> que existe una variación del VA</w:t>
      </w:r>
      <w:r w:rsidRPr="002E3460">
        <w:rPr>
          <w:rFonts w:ascii="Times New Roman" w:hAnsi="Times New Roman" w:cs="Times New Roman"/>
          <w:sz w:val="24"/>
          <w:szCs w:val="24"/>
        </w:rPr>
        <w:t xml:space="preserve">C. entre el período 2014 y 2013, donde el valor distribuido a los trabajadores (70% y 62%) </w:t>
      </w:r>
      <w:r w:rsidR="004279DE">
        <w:rPr>
          <w:rFonts w:ascii="Times New Roman" w:hAnsi="Times New Roman" w:cs="Times New Roman"/>
          <w:sz w:val="24"/>
          <w:szCs w:val="24"/>
        </w:rPr>
        <w:t xml:space="preserve">respectivamente </w:t>
      </w:r>
      <w:r w:rsidRPr="002E3460">
        <w:rPr>
          <w:rFonts w:ascii="Times New Roman" w:hAnsi="Times New Roman" w:cs="Times New Roman"/>
          <w:sz w:val="24"/>
          <w:szCs w:val="24"/>
        </w:rPr>
        <w:lastRenderedPageBreak/>
        <w:t>tiene una disminución del 0,4% reflejados en sus salarios y otros beneficios sociales concedidos, el valor distribuido a la comunidad con un incremento del 19,1% (9% y 6%) y el valor distribuido a los socios con una variación del 41,8 % manifestado a través de la repartición de sus excedentes y representan el 15% y 23% respectivamente.</w:t>
      </w:r>
    </w:p>
    <w:p w:rsidR="00FE5ED9" w:rsidRPr="002E3460" w:rsidRDefault="00FE5ED9" w:rsidP="00D04635">
      <w:pPr>
        <w:pStyle w:val="Prrafodelista"/>
        <w:spacing w:after="0"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Con respecto al indicador inversiones en capacitación se puede </w:t>
      </w:r>
      <w:r w:rsidR="00735A61">
        <w:rPr>
          <w:rFonts w:ascii="Times New Roman" w:hAnsi="Times New Roman" w:cs="Times New Roman"/>
          <w:sz w:val="24"/>
          <w:szCs w:val="24"/>
        </w:rPr>
        <w:t>mencionar</w:t>
      </w:r>
      <w:r w:rsidRPr="002E3460">
        <w:rPr>
          <w:rFonts w:ascii="Times New Roman" w:hAnsi="Times New Roman" w:cs="Times New Roman"/>
          <w:sz w:val="24"/>
          <w:szCs w:val="24"/>
        </w:rPr>
        <w:t xml:space="preserve"> que el presupuesto es variable en cada período, en los años 2013 y 2014 hay una disminución del 11% en los gastos destinados a capacitación de los trabajadores; es un factor a tomar en cuenta por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en relación a los gastos destinados a capacitación de Directivos ha habido un aumento del 111%. Otro aspecto a tomar en cuenta es el cumplimiento del presupuesto para este rubro, pues el año 2013 se cumplió en un 85%, mientras que el año 2014 el 51%, dando como resultado una disminución del 40% entre los períodos indicados.</w:t>
      </w:r>
    </w:p>
    <w:p w:rsidR="00FE5ED9" w:rsidRPr="002E3460" w:rsidRDefault="00FE5ED9" w:rsidP="00D04635">
      <w:pPr>
        <w:pStyle w:val="Prrafodelista"/>
        <w:spacing w:after="0" w:line="360" w:lineRule="auto"/>
        <w:ind w:left="360"/>
        <w:jc w:val="both"/>
        <w:rPr>
          <w:rFonts w:ascii="Times New Roman" w:hAnsi="Times New Roman" w:cs="Times New Roman"/>
          <w:sz w:val="24"/>
          <w:szCs w:val="24"/>
        </w:rPr>
      </w:pPr>
    </w:p>
    <w:p w:rsidR="00FE5ED9" w:rsidRPr="002E3460" w:rsidRDefault="00FE5ED9" w:rsidP="00D04635">
      <w:pPr>
        <w:pStyle w:val="Prrafodelista"/>
        <w:numPr>
          <w:ilvl w:val="0"/>
          <w:numId w:val="6"/>
        </w:numPr>
        <w:spacing w:after="0" w:line="360" w:lineRule="auto"/>
        <w:jc w:val="both"/>
        <w:rPr>
          <w:rFonts w:ascii="Times New Roman" w:hAnsi="Times New Roman" w:cs="Times New Roman"/>
          <w:sz w:val="24"/>
          <w:szCs w:val="24"/>
        </w:rPr>
      </w:pPr>
      <w:r w:rsidRPr="002E3460">
        <w:rPr>
          <w:rFonts w:ascii="Times New Roman" w:hAnsi="Times New Roman" w:cs="Times New Roman"/>
          <w:sz w:val="24"/>
          <w:szCs w:val="24"/>
        </w:rPr>
        <w:t>En relación al Indicador Compromiso con la Comunidad, los apoyos o donaciones destinados a actividades socioculturales ha disminuido en 73,5% entre los años 2013 y 2014; el impulso para los eventos deportivos tiene una disminución del 22,2%; hay un aumento del 16,7% en relación a las Fundaciones y ONG’s; los Créditos de Consumo aumentaron en un 10%; los Microcréditos disminuyeron el 11,4%; los Créditos de vivienda disminuyeron el 40%; los créditos totales otorgados a hombres aumentó el 13,7% mientras que los otorgados a las mujeres disminuyó el 18,2%; los créditos otorgados en localidades rurales disminuyó el 74,2% y los créditos urbanos disminuyeron el 17,7%.</w:t>
      </w:r>
    </w:p>
    <w:p w:rsidR="00FE5ED9" w:rsidRPr="002E3460" w:rsidRDefault="00FE5ED9" w:rsidP="00D04635">
      <w:pPr>
        <w:spacing w:line="360" w:lineRule="auto"/>
        <w:ind w:firstLine="360"/>
        <w:jc w:val="both"/>
        <w:rPr>
          <w:rFonts w:ascii="Times New Roman" w:hAnsi="Times New Roman" w:cs="Times New Roman"/>
          <w:sz w:val="24"/>
          <w:szCs w:val="24"/>
        </w:rPr>
      </w:pPr>
    </w:p>
    <w:p w:rsidR="002E3460" w:rsidRPr="002E3460" w:rsidRDefault="002E3460" w:rsidP="00D04635">
      <w:pPr>
        <w:pStyle w:val="Prrafodelista"/>
        <w:spacing w:after="0" w:line="360" w:lineRule="auto"/>
        <w:ind w:left="142"/>
        <w:jc w:val="both"/>
        <w:rPr>
          <w:rFonts w:ascii="Times New Roman" w:hAnsi="Times New Roman" w:cs="Times New Roman"/>
          <w:sz w:val="24"/>
          <w:szCs w:val="24"/>
        </w:rPr>
      </w:pPr>
    </w:p>
    <w:p w:rsidR="00FE5ED9" w:rsidRPr="002E3460" w:rsidRDefault="00FE5ED9" w:rsidP="00D04635">
      <w:pPr>
        <w:pStyle w:val="Prrafodelista"/>
        <w:spacing w:after="0" w:line="360" w:lineRule="auto"/>
        <w:ind w:left="142"/>
        <w:jc w:val="both"/>
        <w:rPr>
          <w:rFonts w:ascii="Times New Roman" w:hAnsi="Times New Roman" w:cs="Times New Roman"/>
          <w:sz w:val="24"/>
          <w:szCs w:val="24"/>
        </w:rPr>
      </w:pPr>
      <w:r w:rsidRPr="002E3460">
        <w:rPr>
          <w:rFonts w:ascii="Times New Roman" w:hAnsi="Times New Roman" w:cs="Times New Roman"/>
          <w:sz w:val="24"/>
          <w:szCs w:val="24"/>
        </w:rPr>
        <w:t>CONCLUSIONES</w:t>
      </w:r>
    </w:p>
    <w:p w:rsidR="00FE5ED9" w:rsidRPr="002E3460" w:rsidRDefault="00FE5ED9" w:rsidP="00D04635">
      <w:pPr>
        <w:spacing w:after="0" w:line="360" w:lineRule="auto"/>
        <w:ind w:firstLine="360"/>
        <w:jc w:val="both"/>
        <w:rPr>
          <w:rFonts w:ascii="Times New Roman" w:hAnsi="Times New Roman" w:cs="Times New Roman"/>
          <w:sz w:val="24"/>
          <w:szCs w:val="24"/>
        </w:rPr>
      </w:pPr>
    </w:p>
    <w:p w:rsidR="00FE5ED9" w:rsidRPr="002E3460" w:rsidRDefault="00FE5ED9" w:rsidP="00D04635">
      <w:pPr>
        <w:pStyle w:val="Prrafodelista"/>
        <w:numPr>
          <w:ilvl w:val="0"/>
          <w:numId w:val="7"/>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Es fundamental la importancia que representa la Responsabilidad Social en una organización, porque se constituye en una nueva visión dentro del ámbito de la gestión social, cuyo propósito principal es mejorar sustancialmente las actuaciones </w:t>
      </w:r>
      <w:r w:rsidRPr="002E3460">
        <w:rPr>
          <w:rFonts w:ascii="Times New Roman" w:hAnsi="Times New Roman" w:cs="Times New Roman"/>
          <w:sz w:val="24"/>
          <w:szCs w:val="24"/>
        </w:rPr>
        <w:lastRenderedPageBreak/>
        <w:t>tradicionales y asumir compromisos no sólo en lo interno con los trabajadores, sino también en lo externo en la vinculación con la comunidad y medio ambiente.</w:t>
      </w:r>
    </w:p>
    <w:p w:rsidR="00FE5ED9" w:rsidRPr="002E3460" w:rsidRDefault="00FE5ED9" w:rsidP="00D04635">
      <w:pPr>
        <w:pStyle w:val="Prrafodelista"/>
        <w:numPr>
          <w:ilvl w:val="0"/>
          <w:numId w:val="7"/>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Los factores que se tomaron en cuenta para determinar el diagnóstico de la Responsabilidad Social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lo constituyeron: a) aspectos relacionados con el sustento teórico de la RSC; b) El marco institucional y el fundamento legal; c) la identificación de los grupos de interés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y d) la descripción, metodología y análisis de la herramienta de gestión, el Balance Social.</w:t>
      </w:r>
    </w:p>
    <w:p w:rsidR="00FE5ED9" w:rsidRPr="002E3460" w:rsidRDefault="00FE5ED9" w:rsidP="00D04635">
      <w:pPr>
        <w:pStyle w:val="Prrafodelista"/>
        <w:numPr>
          <w:ilvl w:val="0"/>
          <w:numId w:val="7"/>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El proceso metodológico del Balance Social que actualmente utiliza la </w:t>
      </w:r>
      <w:r w:rsidR="007D0FE8">
        <w:rPr>
          <w:rFonts w:ascii="Times New Roman" w:hAnsi="Times New Roman" w:cs="Times New Roman"/>
          <w:sz w:val="24"/>
          <w:szCs w:val="24"/>
        </w:rPr>
        <w:t xml:space="preserve"> Institución</w:t>
      </w:r>
      <w:r w:rsidRPr="002E3460">
        <w:rPr>
          <w:rFonts w:ascii="Times New Roman" w:hAnsi="Times New Roman" w:cs="Times New Roman"/>
          <w:sz w:val="24"/>
          <w:szCs w:val="24"/>
        </w:rPr>
        <w:t xml:space="preserve">., valida lineamientos de los 7 principios universales del cooperativismo establecidos por la Alianza Cooperativa Internacional, puesto que revisan el grado de accesibilidad para nuevos socios; la participación democrática y económica de los miembros; la autonomía en su administración, la educación y capacitación a los socios, representantes elegidos, directivos y trabajadores; el grado de interacción con otras </w:t>
      </w:r>
      <w:r w:rsidR="005B762C">
        <w:rPr>
          <w:rFonts w:ascii="Times New Roman" w:hAnsi="Times New Roman" w:cs="Times New Roman"/>
          <w:sz w:val="24"/>
          <w:szCs w:val="24"/>
        </w:rPr>
        <w:t>Instituciones</w:t>
      </w:r>
      <w:r w:rsidRPr="002E3460">
        <w:rPr>
          <w:rFonts w:ascii="Times New Roman" w:hAnsi="Times New Roman" w:cs="Times New Roman"/>
          <w:sz w:val="24"/>
          <w:szCs w:val="24"/>
        </w:rPr>
        <w:t xml:space="preserve"> y su compromiso con la comunidad tanto interna como externa de la entidad.</w:t>
      </w:r>
    </w:p>
    <w:p w:rsidR="00FE5ED9" w:rsidRPr="002E3460" w:rsidRDefault="00FE5ED9" w:rsidP="00D04635">
      <w:pPr>
        <w:pStyle w:val="Prrafodelista"/>
        <w:numPr>
          <w:ilvl w:val="0"/>
          <w:numId w:val="7"/>
        </w:numPr>
        <w:spacing w:after="200"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Los indicadores más significativos a través del análisis de las Macrodimensiones para el cumplimiento del Balance Social en el año 2014, contrastaron los resultados y se evidenció la evolución de los mismos determinados en las dimensiones del desempeño social, económico y medioambiental de la </w:t>
      </w:r>
      <w:r w:rsidR="005B762C">
        <w:rPr>
          <w:rFonts w:ascii="Times New Roman" w:hAnsi="Times New Roman" w:cs="Times New Roman"/>
          <w:sz w:val="24"/>
          <w:szCs w:val="24"/>
        </w:rPr>
        <w:t>Institución</w:t>
      </w:r>
      <w:r w:rsidRPr="002E3460">
        <w:rPr>
          <w:rFonts w:ascii="Times New Roman" w:hAnsi="Times New Roman" w:cs="Times New Roman"/>
          <w:sz w:val="24"/>
          <w:szCs w:val="24"/>
        </w:rPr>
        <w:t xml:space="preserve">. </w:t>
      </w:r>
    </w:p>
    <w:p w:rsidR="00FE5ED9" w:rsidRPr="002E3460" w:rsidRDefault="00FE5ED9" w:rsidP="00D04635">
      <w:pPr>
        <w:spacing w:line="360" w:lineRule="auto"/>
        <w:jc w:val="both"/>
        <w:rPr>
          <w:rFonts w:ascii="Times New Roman" w:hAnsi="Times New Roman" w:cs="Times New Roman"/>
          <w:sz w:val="24"/>
          <w:szCs w:val="24"/>
        </w:rPr>
      </w:pPr>
    </w:p>
    <w:p w:rsidR="007F1A50" w:rsidRPr="002E3460" w:rsidRDefault="007F1A50" w:rsidP="00D04635">
      <w:pPr>
        <w:spacing w:line="360" w:lineRule="auto"/>
        <w:jc w:val="both"/>
        <w:rPr>
          <w:rFonts w:ascii="Times New Roman" w:hAnsi="Times New Roman" w:cs="Times New Roman"/>
          <w:sz w:val="24"/>
          <w:szCs w:val="24"/>
        </w:rPr>
      </w:pPr>
    </w:p>
    <w:p w:rsidR="00411783" w:rsidRDefault="00411783" w:rsidP="00D04635">
      <w:pPr>
        <w:spacing w:line="360" w:lineRule="auto"/>
        <w:jc w:val="both"/>
        <w:rPr>
          <w:rFonts w:ascii="Times New Roman" w:hAnsi="Times New Roman" w:cs="Times New Roman"/>
          <w:b/>
          <w:sz w:val="24"/>
          <w:szCs w:val="24"/>
        </w:rPr>
      </w:pPr>
      <w:r w:rsidRPr="002E3460">
        <w:rPr>
          <w:rFonts w:ascii="Times New Roman" w:hAnsi="Times New Roman" w:cs="Times New Roman"/>
          <w:b/>
          <w:sz w:val="24"/>
          <w:szCs w:val="24"/>
        </w:rPr>
        <w:t>Referencias</w:t>
      </w:r>
    </w:p>
    <w:p w:rsidR="00B30CD2" w:rsidRDefault="00B30CD2" w:rsidP="00D04635">
      <w:pPr>
        <w:spacing w:line="360" w:lineRule="auto"/>
        <w:jc w:val="both"/>
        <w:rPr>
          <w:rFonts w:ascii="Times New Roman" w:hAnsi="Times New Roman" w:cs="Times New Roman"/>
          <w:b/>
          <w:sz w:val="24"/>
          <w:szCs w:val="24"/>
        </w:rPr>
      </w:pPr>
    </w:p>
    <w:p w:rsidR="00B30CD2" w:rsidRDefault="00B30CD2" w:rsidP="00B30CD2">
      <w:pPr>
        <w:pStyle w:val="Prrafodelista"/>
        <w:numPr>
          <w:ilvl w:val="0"/>
          <w:numId w:val="2"/>
        </w:numPr>
        <w:spacing w:line="360" w:lineRule="auto"/>
        <w:jc w:val="both"/>
        <w:rPr>
          <w:rFonts w:ascii="Times New Roman" w:hAnsi="Times New Roman" w:cs="Times New Roman"/>
          <w:color w:val="222222"/>
          <w:sz w:val="24"/>
          <w:szCs w:val="24"/>
          <w:shd w:val="clear" w:color="auto" w:fill="FFFFFF"/>
        </w:rPr>
      </w:pPr>
      <w:r w:rsidRPr="002E3460">
        <w:rPr>
          <w:rFonts w:ascii="Times New Roman" w:hAnsi="Times New Roman" w:cs="Times New Roman"/>
          <w:color w:val="222222"/>
          <w:sz w:val="24"/>
          <w:szCs w:val="24"/>
          <w:shd w:val="clear" w:color="auto" w:fill="FFFFFF"/>
        </w:rPr>
        <w:t>Abadía,</w:t>
      </w:r>
      <w:r w:rsidRPr="00171B48">
        <w:t xml:space="preserve"> </w:t>
      </w:r>
      <w:r w:rsidRPr="00171B48">
        <w:rPr>
          <w:rFonts w:ascii="Times New Roman" w:hAnsi="Times New Roman" w:cs="Times New Roman"/>
          <w:color w:val="222222"/>
          <w:sz w:val="24"/>
          <w:szCs w:val="24"/>
          <w:shd w:val="clear" w:color="auto" w:fill="FFFFFF"/>
        </w:rPr>
        <w:t xml:space="preserve">José Mariano </w:t>
      </w:r>
      <w:proofErr w:type="spellStart"/>
      <w:r w:rsidRPr="00171B48">
        <w:rPr>
          <w:rFonts w:ascii="Times New Roman" w:hAnsi="Times New Roman" w:cs="Times New Roman"/>
          <w:color w:val="222222"/>
          <w:sz w:val="24"/>
          <w:szCs w:val="24"/>
          <w:shd w:val="clear" w:color="auto" w:fill="FFFFFF"/>
        </w:rPr>
        <w:t>Moneva</w:t>
      </w:r>
      <w:proofErr w:type="spellEnd"/>
      <w:r w:rsidRPr="002E3460">
        <w:rPr>
          <w:rFonts w:ascii="Times New Roman" w:hAnsi="Times New Roman" w:cs="Times New Roman"/>
          <w:color w:val="222222"/>
          <w:sz w:val="24"/>
          <w:szCs w:val="24"/>
          <w:shd w:val="clear" w:color="auto" w:fill="FFFFFF"/>
        </w:rPr>
        <w:t xml:space="preserve"> (2005)</w:t>
      </w:r>
      <w:r>
        <w:rPr>
          <w:rFonts w:ascii="Times New Roman" w:hAnsi="Times New Roman" w:cs="Times New Roman"/>
          <w:color w:val="222222"/>
          <w:sz w:val="24"/>
          <w:szCs w:val="24"/>
          <w:shd w:val="clear" w:color="auto" w:fill="FFFFFF"/>
        </w:rPr>
        <w:t>,</w:t>
      </w:r>
      <w:r w:rsidRPr="002E34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E3460">
        <w:rPr>
          <w:rFonts w:ascii="Times New Roman" w:hAnsi="Times New Roman" w:cs="Times New Roman"/>
          <w:color w:val="222222"/>
          <w:sz w:val="24"/>
          <w:szCs w:val="24"/>
          <w:shd w:val="clear" w:color="auto" w:fill="FFFFFF"/>
        </w:rPr>
        <w:t>Información sobre responsabilidad social corporativa: Situación y tendencias</w:t>
      </w:r>
      <w:r>
        <w:rPr>
          <w:rFonts w:ascii="Times New Roman" w:hAnsi="Times New Roman" w:cs="Times New Roman"/>
          <w:color w:val="222222"/>
          <w:sz w:val="24"/>
          <w:szCs w:val="24"/>
          <w:shd w:val="clear" w:color="auto" w:fill="FFFFFF"/>
        </w:rPr>
        <w:t>”, en</w:t>
      </w:r>
      <w:r w:rsidRPr="002E3460">
        <w:rPr>
          <w:rStyle w:val="apple-converted-space"/>
          <w:rFonts w:ascii="Times New Roman" w:hAnsi="Times New Roman" w:cs="Times New Roman"/>
          <w:color w:val="222222"/>
          <w:sz w:val="24"/>
          <w:szCs w:val="24"/>
          <w:shd w:val="clear" w:color="auto" w:fill="FFFFFF"/>
        </w:rPr>
        <w:t> </w:t>
      </w:r>
      <w:r w:rsidRPr="002E3460">
        <w:rPr>
          <w:rFonts w:ascii="Times New Roman" w:hAnsi="Times New Roman" w:cs="Times New Roman"/>
          <w:i/>
          <w:iCs/>
          <w:color w:val="222222"/>
          <w:sz w:val="24"/>
          <w:szCs w:val="24"/>
          <w:shd w:val="clear" w:color="auto" w:fill="FFFFFF"/>
        </w:rPr>
        <w:t>RAE: Revista Asturiana de Economía</w:t>
      </w:r>
      <w:r w:rsidRPr="002E34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núm. </w:t>
      </w:r>
      <w:r w:rsidRPr="002E3460">
        <w:rPr>
          <w:rFonts w:ascii="Times New Roman" w:hAnsi="Times New Roman" w:cs="Times New Roman"/>
          <w:color w:val="222222"/>
          <w:sz w:val="24"/>
          <w:szCs w:val="24"/>
          <w:shd w:val="clear" w:color="auto" w:fill="FFFFFF"/>
        </w:rPr>
        <w:t>34</w:t>
      </w:r>
      <w:r>
        <w:rPr>
          <w:rFonts w:ascii="Times New Roman" w:hAnsi="Times New Roman" w:cs="Times New Roman"/>
          <w:color w:val="222222"/>
          <w:sz w:val="24"/>
          <w:szCs w:val="24"/>
          <w:shd w:val="clear" w:color="auto" w:fill="FFFFFF"/>
        </w:rPr>
        <w:t>, 43-67</w:t>
      </w:r>
      <w:r w:rsidRPr="002E3460">
        <w:rPr>
          <w:rFonts w:ascii="Times New Roman" w:hAnsi="Times New Roman" w:cs="Times New Roman"/>
          <w:color w:val="222222"/>
          <w:sz w:val="24"/>
          <w:szCs w:val="24"/>
          <w:shd w:val="clear" w:color="auto" w:fill="FFFFFF"/>
        </w:rPr>
        <w:t>.</w:t>
      </w:r>
    </w:p>
    <w:p w:rsidR="00B30CD2" w:rsidRDefault="00B30CD2" w:rsidP="00B30CD2">
      <w:pPr>
        <w:pStyle w:val="Prrafodelista"/>
        <w:numPr>
          <w:ilvl w:val="0"/>
          <w:numId w:val="2"/>
        </w:numPr>
        <w:spacing w:line="360" w:lineRule="auto"/>
        <w:jc w:val="both"/>
        <w:rPr>
          <w:rFonts w:ascii="Times New Roman" w:hAnsi="Times New Roman" w:cs="Times New Roman"/>
          <w:color w:val="222222"/>
          <w:sz w:val="24"/>
          <w:szCs w:val="24"/>
          <w:shd w:val="clear" w:color="auto" w:fill="FFFFFF"/>
        </w:rPr>
      </w:pPr>
      <w:r w:rsidRPr="002E3460">
        <w:rPr>
          <w:rFonts w:ascii="Times New Roman" w:hAnsi="Times New Roman" w:cs="Times New Roman"/>
          <w:sz w:val="24"/>
          <w:szCs w:val="24"/>
        </w:rPr>
        <w:t>ACI Américas, Región de la Alianza Cooperativa Internacional</w:t>
      </w:r>
      <w:r>
        <w:rPr>
          <w:rFonts w:ascii="Times New Roman" w:hAnsi="Times New Roman" w:cs="Times New Roman"/>
          <w:sz w:val="24"/>
          <w:szCs w:val="24"/>
        </w:rPr>
        <w:t xml:space="preserve"> (2001),</w:t>
      </w:r>
      <w:r w:rsidRPr="002E3460">
        <w:rPr>
          <w:rFonts w:ascii="Times New Roman" w:hAnsi="Times New Roman" w:cs="Times New Roman"/>
          <w:sz w:val="24"/>
          <w:szCs w:val="24"/>
        </w:rPr>
        <w:t xml:space="preserve"> </w:t>
      </w:r>
      <w:r>
        <w:rPr>
          <w:rFonts w:ascii="Times New Roman" w:hAnsi="Times New Roman" w:cs="Times New Roman"/>
          <w:sz w:val="24"/>
          <w:szCs w:val="24"/>
        </w:rPr>
        <w:t>“</w:t>
      </w:r>
      <w:r w:rsidRPr="002E3460">
        <w:rPr>
          <w:rFonts w:ascii="Times New Roman" w:hAnsi="Times New Roman" w:cs="Times New Roman"/>
          <w:sz w:val="24"/>
          <w:szCs w:val="24"/>
        </w:rPr>
        <w:t>Principios y Valores Cooperativos</w:t>
      </w:r>
      <w:r>
        <w:rPr>
          <w:rFonts w:ascii="Times New Roman" w:hAnsi="Times New Roman" w:cs="Times New Roman"/>
          <w:sz w:val="24"/>
          <w:szCs w:val="24"/>
        </w:rPr>
        <w:t>”</w:t>
      </w:r>
      <w:r w:rsidRPr="002E3460">
        <w:rPr>
          <w:rFonts w:ascii="Times New Roman" w:hAnsi="Times New Roman" w:cs="Times New Roman"/>
          <w:sz w:val="24"/>
          <w:szCs w:val="24"/>
        </w:rPr>
        <w:t xml:space="preserve">.  </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lastRenderedPageBreak/>
        <w:t>Asamblea Constituyente</w:t>
      </w:r>
      <w:r>
        <w:rPr>
          <w:rFonts w:ascii="Times New Roman" w:hAnsi="Times New Roman" w:cs="Times New Roman"/>
          <w:sz w:val="24"/>
          <w:szCs w:val="24"/>
        </w:rPr>
        <w:t xml:space="preserve"> (2008), “</w:t>
      </w:r>
      <w:r w:rsidRPr="002E3460">
        <w:rPr>
          <w:rFonts w:ascii="Times New Roman" w:hAnsi="Times New Roman" w:cs="Times New Roman"/>
          <w:sz w:val="24"/>
          <w:szCs w:val="24"/>
        </w:rPr>
        <w:t>Constitución de la República del Ecuador</w:t>
      </w:r>
      <w:r>
        <w:rPr>
          <w:rFonts w:ascii="Times New Roman" w:hAnsi="Times New Roman" w:cs="Times New Roman"/>
          <w:sz w:val="24"/>
          <w:szCs w:val="24"/>
        </w:rPr>
        <w:t xml:space="preserve">”, </w:t>
      </w:r>
      <w:r w:rsidRPr="001B03DD">
        <w:rPr>
          <w:rFonts w:ascii="Times New Roman" w:hAnsi="Times New Roman" w:cs="Times New Roman"/>
          <w:i/>
          <w:sz w:val="24"/>
          <w:szCs w:val="24"/>
        </w:rPr>
        <w:t>Quito-Ecuador: Registro Oficial</w:t>
      </w:r>
      <w:r w:rsidRPr="00E36AC0">
        <w:rPr>
          <w:rFonts w:ascii="Times New Roman" w:hAnsi="Times New Roman" w:cs="Times New Roman"/>
          <w:sz w:val="24"/>
          <w:szCs w:val="24"/>
        </w:rPr>
        <w:t>, vol. 449, 20-10.</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Asociación de Empresarios Cristianos</w:t>
      </w:r>
      <w:r>
        <w:rPr>
          <w:rFonts w:ascii="Times New Roman" w:hAnsi="Times New Roman" w:cs="Times New Roman"/>
          <w:sz w:val="24"/>
          <w:szCs w:val="24"/>
        </w:rPr>
        <w:t xml:space="preserve"> (2009), “</w:t>
      </w:r>
      <w:r w:rsidRPr="002E3460">
        <w:rPr>
          <w:rFonts w:ascii="Times New Roman" w:hAnsi="Times New Roman" w:cs="Times New Roman"/>
          <w:sz w:val="24"/>
          <w:szCs w:val="24"/>
        </w:rPr>
        <w:t>Res</w:t>
      </w:r>
      <w:r>
        <w:rPr>
          <w:rFonts w:ascii="Times New Roman" w:hAnsi="Times New Roman" w:cs="Times New Roman"/>
          <w:sz w:val="24"/>
          <w:szCs w:val="24"/>
        </w:rPr>
        <w:t xml:space="preserve">ponsabilidad Social Empresarial”, </w:t>
      </w:r>
      <w:r w:rsidRPr="00954FA0">
        <w:rPr>
          <w:rFonts w:ascii="Times New Roman" w:hAnsi="Times New Roman" w:cs="Times New Roman"/>
          <w:i/>
          <w:sz w:val="24"/>
          <w:szCs w:val="24"/>
        </w:rPr>
        <w:t>Guía de implementación para Pymes</w:t>
      </w:r>
      <w:r w:rsidRPr="002E3460">
        <w:rPr>
          <w:rFonts w:ascii="Times New Roman" w:hAnsi="Times New Roman" w:cs="Times New Roman"/>
          <w:sz w:val="24"/>
          <w:szCs w:val="24"/>
        </w:rPr>
        <w:t xml:space="preserve">, Asunción. </w:t>
      </w:r>
    </w:p>
    <w:p w:rsidR="00B30CD2" w:rsidRDefault="00B30CD2" w:rsidP="00B30CD2">
      <w:pPr>
        <w:pStyle w:val="Prrafodelista"/>
        <w:numPr>
          <w:ilvl w:val="0"/>
          <w:numId w:val="2"/>
        </w:numPr>
        <w:spacing w:line="360" w:lineRule="auto"/>
        <w:jc w:val="both"/>
        <w:rPr>
          <w:rFonts w:ascii="Times New Roman" w:hAnsi="Times New Roman" w:cs="Times New Roman"/>
          <w:sz w:val="24"/>
          <w:szCs w:val="24"/>
        </w:rPr>
      </w:pPr>
      <w:r w:rsidRPr="008303AF">
        <w:rPr>
          <w:rFonts w:ascii="Times New Roman" w:hAnsi="Times New Roman" w:cs="Times New Roman"/>
          <w:sz w:val="24"/>
          <w:szCs w:val="24"/>
        </w:rPr>
        <w:t>Cardoso, G., Bermeo, E., &amp; Fresa, M. (2012)</w:t>
      </w:r>
      <w:r>
        <w:rPr>
          <w:rFonts w:ascii="Times New Roman" w:hAnsi="Times New Roman" w:cs="Times New Roman"/>
          <w:sz w:val="24"/>
          <w:szCs w:val="24"/>
        </w:rPr>
        <w:t>, “</w:t>
      </w:r>
      <w:r w:rsidRPr="008303AF">
        <w:rPr>
          <w:rFonts w:ascii="Times New Roman" w:hAnsi="Times New Roman" w:cs="Times New Roman"/>
          <w:sz w:val="24"/>
          <w:szCs w:val="24"/>
        </w:rPr>
        <w:t>Ecuador: economía y finanzas populares y solidarias, para el buen vivir</w:t>
      </w:r>
      <w:r>
        <w:rPr>
          <w:rFonts w:ascii="Times New Roman" w:hAnsi="Times New Roman" w:cs="Times New Roman"/>
          <w:sz w:val="24"/>
          <w:szCs w:val="24"/>
        </w:rPr>
        <w:t xml:space="preserve">”, en </w:t>
      </w:r>
      <w:r w:rsidRPr="007D3DEB">
        <w:rPr>
          <w:rFonts w:ascii="Times New Roman" w:hAnsi="Times New Roman" w:cs="Times New Roman"/>
          <w:i/>
          <w:sz w:val="24"/>
          <w:szCs w:val="24"/>
        </w:rPr>
        <w:t>Programa Nacional de Finanzas Populares, Emprendimiento y Economía Solidaria-PNFPEES Secretaría Nacional del Migrante-SENAMI Programa de las Naciones Unidas para el Desarrollo-PNUD</w:t>
      </w:r>
      <w:r>
        <w:rPr>
          <w:rFonts w:ascii="Times New Roman" w:hAnsi="Times New Roman" w:cs="Times New Roman"/>
          <w:i/>
          <w:sz w:val="24"/>
          <w:szCs w:val="24"/>
        </w:rPr>
        <w:t>,</w:t>
      </w:r>
      <w:r w:rsidRPr="008303AF">
        <w:rPr>
          <w:rFonts w:ascii="Times New Roman" w:hAnsi="Times New Roman" w:cs="Times New Roman"/>
          <w:sz w:val="24"/>
          <w:szCs w:val="24"/>
        </w:rPr>
        <w:t xml:space="preserve"> Ecuador</w:t>
      </w:r>
      <w:r>
        <w:rPr>
          <w:rFonts w:ascii="Times New Roman" w:hAnsi="Times New Roman" w:cs="Times New Roman"/>
          <w:sz w:val="24"/>
          <w:szCs w:val="24"/>
        </w:rPr>
        <w:t xml:space="preserve">, </w:t>
      </w:r>
      <w:r w:rsidRPr="008303AF">
        <w:rPr>
          <w:rFonts w:ascii="Times New Roman" w:hAnsi="Times New Roman" w:cs="Times New Roman"/>
          <w:sz w:val="24"/>
          <w:szCs w:val="24"/>
        </w:rPr>
        <w:t>Quito</w:t>
      </w:r>
      <w:r>
        <w:rPr>
          <w:rFonts w:ascii="Times New Roman" w:hAnsi="Times New Roman" w:cs="Times New Roman"/>
          <w:sz w:val="24"/>
          <w:szCs w:val="24"/>
        </w:rPr>
        <w:t xml:space="preserve">: </w:t>
      </w:r>
      <w:proofErr w:type="spellStart"/>
      <w:r w:rsidRPr="009A4483">
        <w:rPr>
          <w:rFonts w:ascii="Times New Roman" w:hAnsi="Times New Roman" w:cs="Times New Roman"/>
          <w:sz w:val="24"/>
          <w:szCs w:val="24"/>
        </w:rPr>
        <w:t>Imprefepp</w:t>
      </w:r>
      <w:proofErr w:type="spellEnd"/>
      <w:r>
        <w:rPr>
          <w:rFonts w:ascii="Times New Roman" w:hAnsi="Times New Roman" w:cs="Times New Roman"/>
          <w:sz w:val="24"/>
          <w:szCs w:val="24"/>
        </w:rPr>
        <w:t>.</w:t>
      </w:r>
      <w:r w:rsidRPr="008303AF">
        <w:rPr>
          <w:rFonts w:ascii="Times New Roman" w:hAnsi="Times New Roman" w:cs="Times New Roman"/>
          <w:sz w:val="24"/>
          <w:szCs w:val="24"/>
        </w:rPr>
        <w:t xml:space="preserve"> </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Giménez, G</w:t>
      </w:r>
      <w:r>
        <w:rPr>
          <w:rFonts w:ascii="Times New Roman" w:hAnsi="Times New Roman" w:cs="Times New Roman"/>
          <w:sz w:val="24"/>
          <w:szCs w:val="24"/>
        </w:rPr>
        <w:t>aspar</w:t>
      </w:r>
      <w:r w:rsidRPr="002E3460">
        <w:rPr>
          <w:rFonts w:ascii="Times New Roman" w:hAnsi="Times New Roman" w:cs="Times New Roman"/>
          <w:sz w:val="24"/>
          <w:szCs w:val="24"/>
        </w:rPr>
        <w:t xml:space="preserve"> </w:t>
      </w:r>
      <w:proofErr w:type="spellStart"/>
      <w:r w:rsidRPr="002E3460">
        <w:rPr>
          <w:rFonts w:ascii="Times New Roman" w:hAnsi="Times New Roman" w:cs="Times New Roman"/>
          <w:sz w:val="24"/>
          <w:szCs w:val="24"/>
        </w:rPr>
        <w:t>B</w:t>
      </w:r>
      <w:r>
        <w:rPr>
          <w:rFonts w:ascii="Times New Roman" w:hAnsi="Times New Roman" w:cs="Times New Roman"/>
          <w:sz w:val="24"/>
          <w:szCs w:val="24"/>
        </w:rPr>
        <w:t>erbel</w:t>
      </w:r>
      <w:proofErr w:type="spellEnd"/>
      <w:r>
        <w:rPr>
          <w:rFonts w:ascii="Times New Roman" w:hAnsi="Times New Roman" w:cs="Times New Roman"/>
          <w:sz w:val="24"/>
          <w:szCs w:val="24"/>
        </w:rPr>
        <w:t>;</w:t>
      </w:r>
      <w:r w:rsidRPr="002E3460">
        <w:rPr>
          <w:rFonts w:ascii="Times New Roman" w:hAnsi="Times New Roman" w:cs="Times New Roman"/>
          <w:sz w:val="24"/>
          <w:szCs w:val="24"/>
        </w:rPr>
        <w:t xml:space="preserve"> Gómez, J</w:t>
      </w:r>
      <w:r>
        <w:rPr>
          <w:rFonts w:ascii="Times New Roman" w:hAnsi="Times New Roman" w:cs="Times New Roman"/>
          <w:sz w:val="24"/>
          <w:szCs w:val="24"/>
        </w:rPr>
        <w:t xml:space="preserve">uan David Reyes </w:t>
      </w:r>
      <w:r w:rsidRPr="002E3460">
        <w:rPr>
          <w:rFonts w:ascii="Times New Roman" w:hAnsi="Times New Roman" w:cs="Times New Roman"/>
          <w:sz w:val="24"/>
          <w:szCs w:val="24"/>
        </w:rPr>
        <w:t>&amp; Villegas, M</w:t>
      </w:r>
      <w:r>
        <w:rPr>
          <w:rFonts w:ascii="Times New Roman" w:hAnsi="Times New Roman" w:cs="Times New Roman"/>
          <w:sz w:val="24"/>
          <w:szCs w:val="24"/>
        </w:rPr>
        <w:t>auricio</w:t>
      </w:r>
      <w:r w:rsidRPr="002E3460">
        <w:rPr>
          <w:rFonts w:ascii="Times New Roman" w:hAnsi="Times New Roman" w:cs="Times New Roman"/>
          <w:sz w:val="24"/>
          <w:szCs w:val="24"/>
        </w:rPr>
        <w:t xml:space="preserve"> G</w:t>
      </w:r>
      <w:r>
        <w:rPr>
          <w:rFonts w:ascii="Times New Roman" w:hAnsi="Times New Roman" w:cs="Times New Roman"/>
          <w:sz w:val="24"/>
          <w:szCs w:val="24"/>
        </w:rPr>
        <w:t>ómez</w:t>
      </w:r>
      <w:r w:rsidRPr="002E3460">
        <w:rPr>
          <w:rFonts w:ascii="Times New Roman" w:hAnsi="Times New Roman" w:cs="Times New Roman"/>
          <w:sz w:val="24"/>
          <w:szCs w:val="24"/>
        </w:rPr>
        <w:t xml:space="preserve"> (2007)</w:t>
      </w:r>
      <w:r>
        <w:rPr>
          <w:rFonts w:ascii="Times New Roman" w:hAnsi="Times New Roman" w:cs="Times New Roman"/>
          <w:sz w:val="24"/>
          <w:szCs w:val="24"/>
        </w:rPr>
        <w:t>, “</w:t>
      </w:r>
      <w:r w:rsidRPr="002E3460">
        <w:rPr>
          <w:rFonts w:ascii="Times New Roman" w:hAnsi="Times New Roman" w:cs="Times New Roman"/>
          <w:sz w:val="24"/>
          <w:szCs w:val="24"/>
        </w:rPr>
        <w:t>La responsabilidad social en las organizaciones (RSO): análisis y comparación entre guías y normas de gestión e información</w:t>
      </w:r>
      <w:r>
        <w:rPr>
          <w:rFonts w:ascii="Times New Roman" w:hAnsi="Times New Roman" w:cs="Times New Roman"/>
          <w:sz w:val="24"/>
          <w:szCs w:val="24"/>
        </w:rPr>
        <w:t xml:space="preserve">”, en </w:t>
      </w:r>
      <w:r w:rsidRPr="00336BB6">
        <w:rPr>
          <w:rFonts w:ascii="Times New Roman" w:hAnsi="Times New Roman" w:cs="Times New Roman"/>
          <w:i/>
          <w:sz w:val="24"/>
          <w:szCs w:val="24"/>
        </w:rPr>
        <w:t>Innovar</w:t>
      </w:r>
      <w:r w:rsidRPr="002E3460">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2E3460">
        <w:rPr>
          <w:rFonts w:ascii="Times New Roman" w:hAnsi="Times New Roman" w:cs="Times New Roman"/>
          <w:sz w:val="24"/>
          <w:szCs w:val="24"/>
        </w:rPr>
        <w:t>17</w:t>
      </w:r>
      <w:r>
        <w:rPr>
          <w:rFonts w:ascii="Times New Roman" w:hAnsi="Times New Roman" w:cs="Times New Roman"/>
          <w:sz w:val="24"/>
          <w:szCs w:val="24"/>
        </w:rPr>
        <w:t xml:space="preserve">, </w:t>
      </w:r>
      <w:proofErr w:type="spellStart"/>
      <w:r>
        <w:rPr>
          <w:rFonts w:ascii="Times New Roman" w:hAnsi="Times New Roman" w:cs="Times New Roman"/>
          <w:sz w:val="24"/>
          <w:szCs w:val="24"/>
        </w:rPr>
        <w:t>núm</w:t>
      </w:r>
      <w:proofErr w:type="spellEnd"/>
      <w:r>
        <w:rPr>
          <w:rFonts w:ascii="Times New Roman" w:hAnsi="Times New Roman" w:cs="Times New Roman"/>
          <w:sz w:val="24"/>
          <w:szCs w:val="24"/>
        </w:rPr>
        <w:t xml:space="preserve"> </w:t>
      </w:r>
      <w:r w:rsidRPr="002E3460">
        <w:rPr>
          <w:rFonts w:ascii="Times New Roman" w:hAnsi="Times New Roman" w:cs="Times New Roman"/>
          <w:sz w:val="24"/>
          <w:szCs w:val="24"/>
        </w:rPr>
        <w:t>29, 27-48.</w:t>
      </w:r>
    </w:p>
    <w:p w:rsidR="00B30CD2" w:rsidRPr="00B30CD2"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color w:val="222222"/>
          <w:sz w:val="24"/>
          <w:szCs w:val="24"/>
          <w:shd w:val="clear" w:color="auto" w:fill="FFFFFF"/>
        </w:rPr>
        <w:t>González, M</w:t>
      </w:r>
      <w:r>
        <w:rPr>
          <w:rFonts w:ascii="Times New Roman" w:hAnsi="Times New Roman" w:cs="Times New Roman"/>
          <w:color w:val="222222"/>
          <w:sz w:val="24"/>
          <w:szCs w:val="24"/>
          <w:shd w:val="clear" w:color="auto" w:fill="FFFFFF"/>
        </w:rPr>
        <w:t>ario;</w:t>
      </w:r>
      <w:r w:rsidRPr="002E3460">
        <w:rPr>
          <w:rFonts w:ascii="Times New Roman" w:hAnsi="Times New Roman" w:cs="Times New Roman"/>
          <w:color w:val="222222"/>
          <w:sz w:val="24"/>
          <w:szCs w:val="24"/>
          <w:shd w:val="clear" w:color="auto" w:fill="FFFFFF"/>
        </w:rPr>
        <w:t xml:space="preserve"> del Mar Alonso-Almeida, M.</w:t>
      </w:r>
      <w:r>
        <w:rPr>
          <w:rFonts w:ascii="Times New Roman" w:hAnsi="Times New Roman" w:cs="Times New Roman"/>
          <w:color w:val="222222"/>
          <w:sz w:val="24"/>
          <w:szCs w:val="24"/>
          <w:shd w:val="clear" w:color="auto" w:fill="FFFFFF"/>
        </w:rPr>
        <w:t>;</w:t>
      </w:r>
      <w:r w:rsidRPr="002E3460">
        <w:rPr>
          <w:rFonts w:ascii="Times New Roman" w:hAnsi="Times New Roman" w:cs="Times New Roman"/>
          <w:color w:val="222222"/>
          <w:sz w:val="24"/>
          <w:szCs w:val="24"/>
          <w:shd w:val="clear" w:color="auto" w:fill="FFFFFF"/>
        </w:rPr>
        <w:t xml:space="preserve"> </w:t>
      </w:r>
      <w:proofErr w:type="spellStart"/>
      <w:r w:rsidRPr="002E3460">
        <w:rPr>
          <w:rFonts w:ascii="Times New Roman" w:hAnsi="Times New Roman" w:cs="Times New Roman"/>
          <w:color w:val="222222"/>
          <w:sz w:val="24"/>
          <w:szCs w:val="24"/>
          <w:shd w:val="clear" w:color="auto" w:fill="FFFFFF"/>
        </w:rPr>
        <w:t>Avila</w:t>
      </w:r>
      <w:proofErr w:type="spellEnd"/>
      <w:r w:rsidRPr="002E3460">
        <w:rPr>
          <w:rFonts w:ascii="Times New Roman" w:hAnsi="Times New Roman" w:cs="Times New Roman"/>
          <w:color w:val="222222"/>
          <w:sz w:val="24"/>
          <w:szCs w:val="24"/>
          <w:shd w:val="clear" w:color="auto" w:fill="FFFFFF"/>
        </w:rPr>
        <w:t xml:space="preserve">, C. &amp; </w:t>
      </w:r>
      <w:proofErr w:type="spellStart"/>
      <w:r w:rsidRPr="002E3460">
        <w:rPr>
          <w:rFonts w:ascii="Times New Roman" w:hAnsi="Times New Roman" w:cs="Times New Roman"/>
          <w:color w:val="222222"/>
          <w:sz w:val="24"/>
          <w:szCs w:val="24"/>
          <w:shd w:val="clear" w:color="auto" w:fill="FFFFFF"/>
        </w:rPr>
        <w:t>Dominguez</w:t>
      </w:r>
      <w:proofErr w:type="spellEnd"/>
      <w:r w:rsidRPr="002E3460">
        <w:rPr>
          <w:rFonts w:ascii="Times New Roman" w:hAnsi="Times New Roman" w:cs="Times New Roman"/>
          <w:color w:val="222222"/>
          <w:sz w:val="24"/>
          <w:szCs w:val="24"/>
          <w:shd w:val="clear" w:color="auto" w:fill="FFFFFF"/>
        </w:rPr>
        <w:t>, D. (2015)</w:t>
      </w:r>
      <w:r>
        <w:rPr>
          <w:rFonts w:ascii="Times New Roman" w:hAnsi="Times New Roman" w:cs="Times New Roman"/>
          <w:color w:val="222222"/>
          <w:sz w:val="24"/>
          <w:szCs w:val="24"/>
          <w:shd w:val="clear" w:color="auto" w:fill="FFFFFF"/>
        </w:rPr>
        <w:t>,</w:t>
      </w:r>
      <w:r w:rsidRPr="002E346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spellStart"/>
      <w:r w:rsidRPr="00B30CD2">
        <w:rPr>
          <w:rFonts w:ascii="Times New Roman" w:hAnsi="Times New Roman" w:cs="Times New Roman"/>
          <w:color w:val="222222"/>
          <w:sz w:val="24"/>
          <w:szCs w:val="24"/>
          <w:shd w:val="clear" w:color="auto" w:fill="FFFFFF"/>
        </w:rPr>
        <w:t>Modeling</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sustainability</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report</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scoring</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sequences</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using</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an</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attractor</w:t>
      </w:r>
      <w:proofErr w:type="spellEnd"/>
      <w:r w:rsidRPr="00B30CD2">
        <w:rPr>
          <w:rFonts w:ascii="Times New Roman" w:hAnsi="Times New Roman" w:cs="Times New Roman"/>
          <w:color w:val="222222"/>
          <w:sz w:val="24"/>
          <w:szCs w:val="24"/>
          <w:shd w:val="clear" w:color="auto" w:fill="FFFFFF"/>
        </w:rPr>
        <w:t xml:space="preserve"> </w:t>
      </w:r>
      <w:proofErr w:type="spellStart"/>
      <w:r w:rsidRPr="00B30CD2">
        <w:rPr>
          <w:rFonts w:ascii="Times New Roman" w:hAnsi="Times New Roman" w:cs="Times New Roman"/>
          <w:color w:val="222222"/>
          <w:sz w:val="24"/>
          <w:szCs w:val="24"/>
          <w:shd w:val="clear" w:color="auto" w:fill="FFFFFF"/>
        </w:rPr>
        <w:t>network</w:t>
      </w:r>
      <w:proofErr w:type="spellEnd"/>
      <w:r w:rsidRPr="00B30CD2">
        <w:rPr>
          <w:rFonts w:ascii="Times New Roman" w:hAnsi="Times New Roman" w:cs="Times New Roman"/>
          <w:color w:val="222222"/>
          <w:sz w:val="24"/>
          <w:szCs w:val="24"/>
          <w:shd w:val="clear" w:color="auto" w:fill="FFFFFF"/>
        </w:rPr>
        <w:t xml:space="preserve">”, en </w:t>
      </w:r>
      <w:proofErr w:type="spellStart"/>
      <w:r w:rsidRPr="00B30CD2">
        <w:rPr>
          <w:rFonts w:ascii="Times New Roman" w:hAnsi="Times New Roman" w:cs="Times New Roman"/>
          <w:i/>
          <w:iCs/>
          <w:color w:val="222222"/>
          <w:sz w:val="24"/>
          <w:szCs w:val="24"/>
          <w:shd w:val="clear" w:color="auto" w:fill="FFFFFF"/>
        </w:rPr>
        <w:t>Neurocomputing</w:t>
      </w:r>
      <w:proofErr w:type="spellEnd"/>
      <w:r w:rsidRPr="00B30CD2">
        <w:rPr>
          <w:rFonts w:ascii="Times New Roman" w:hAnsi="Times New Roman" w:cs="Times New Roman"/>
          <w:color w:val="222222"/>
          <w:sz w:val="24"/>
          <w:szCs w:val="24"/>
          <w:shd w:val="clear" w:color="auto" w:fill="FFFFFF"/>
        </w:rPr>
        <w:t>,</w:t>
      </w:r>
      <w:r w:rsidRPr="00B30CD2">
        <w:rPr>
          <w:rStyle w:val="apple-converted-space"/>
          <w:rFonts w:ascii="Times New Roman" w:hAnsi="Times New Roman" w:cs="Times New Roman"/>
          <w:color w:val="222222"/>
          <w:sz w:val="24"/>
          <w:szCs w:val="24"/>
          <w:shd w:val="clear" w:color="auto" w:fill="FFFFFF"/>
        </w:rPr>
        <w:t xml:space="preserve"> núm. </w:t>
      </w:r>
      <w:r w:rsidRPr="00B30CD2">
        <w:rPr>
          <w:rFonts w:ascii="Times New Roman" w:hAnsi="Times New Roman" w:cs="Times New Roman"/>
          <w:iCs/>
          <w:color w:val="222222"/>
          <w:sz w:val="24"/>
          <w:szCs w:val="24"/>
          <w:shd w:val="clear" w:color="auto" w:fill="FFFFFF"/>
        </w:rPr>
        <w:t>168</w:t>
      </w:r>
      <w:r w:rsidRPr="00B30CD2">
        <w:rPr>
          <w:rFonts w:ascii="Times New Roman" w:hAnsi="Times New Roman" w:cs="Times New Roman"/>
          <w:color w:val="222222"/>
          <w:sz w:val="24"/>
          <w:szCs w:val="24"/>
          <w:shd w:val="clear" w:color="auto" w:fill="FFFFFF"/>
        </w:rPr>
        <w:t>, 1181-1187.</w:t>
      </w:r>
    </w:p>
    <w:p w:rsidR="00B30CD2" w:rsidRPr="00802161" w:rsidRDefault="00B30CD2" w:rsidP="00B30CD2">
      <w:pPr>
        <w:pStyle w:val="Prrafodelista"/>
        <w:numPr>
          <w:ilvl w:val="0"/>
          <w:numId w:val="2"/>
        </w:numPr>
        <w:spacing w:line="360" w:lineRule="auto"/>
        <w:jc w:val="both"/>
        <w:rPr>
          <w:rFonts w:ascii="Times New Roman" w:hAnsi="Times New Roman" w:cs="Times New Roman"/>
          <w:sz w:val="24"/>
          <w:szCs w:val="24"/>
        </w:rPr>
      </w:pPr>
      <w:r w:rsidRPr="00802161">
        <w:rPr>
          <w:rFonts w:ascii="Times New Roman" w:hAnsi="Times New Roman" w:cs="Times New Roman"/>
          <w:sz w:val="24"/>
          <w:szCs w:val="24"/>
        </w:rPr>
        <w:t>IDEA, Instituto para el Desarrollo Empresarial de la Argentina</w:t>
      </w:r>
      <w:r>
        <w:rPr>
          <w:rFonts w:ascii="Times New Roman" w:hAnsi="Times New Roman" w:cs="Times New Roman"/>
          <w:sz w:val="24"/>
          <w:szCs w:val="24"/>
        </w:rPr>
        <w:t xml:space="preserve"> (</w:t>
      </w:r>
      <w:r w:rsidRPr="00802161">
        <w:rPr>
          <w:rFonts w:ascii="Times New Roman" w:hAnsi="Times New Roman" w:cs="Times New Roman"/>
          <w:sz w:val="24"/>
          <w:szCs w:val="24"/>
        </w:rPr>
        <w:t>2001</w:t>
      </w:r>
      <w:r>
        <w:rPr>
          <w:rFonts w:ascii="Times New Roman" w:hAnsi="Times New Roman" w:cs="Times New Roman"/>
          <w:sz w:val="24"/>
          <w:szCs w:val="24"/>
        </w:rPr>
        <w:t xml:space="preserve">), en </w:t>
      </w:r>
      <w:r w:rsidRPr="00802161">
        <w:rPr>
          <w:rFonts w:ascii="Times New Roman" w:hAnsi="Times New Roman" w:cs="Times New Roman"/>
          <w:sz w:val="24"/>
          <w:szCs w:val="24"/>
        </w:rPr>
        <w:t>‹http://www.ideared.org/doc/balance_social.pdf ›</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Martínez Sánchez</w:t>
      </w:r>
      <w:r w:rsidRPr="006A3420">
        <w:rPr>
          <w:rFonts w:ascii="Times New Roman" w:hAnsi="Times New Roman" w:cs="Times New Roman"/>
          <w:sz w:val="24"/>
          <w:szCs w:val="24"/>
        </w:rPr>
        <w:t>, Paula Cristina</w:t>
      </w:r>
      <w:r w:rsidRPr="002E3460">
        <w:rPr>
          <w:rFonts w:ascii="Times New Roman" w:hAnsi="Times New Roman" w:cs="Times New Roman"/>
          <w:sz w:val="24"/>
          <w:szCs w:val="24"/>
        </w:rPr>
        <w:t xml:space="preserve"> (2014). </w:t>
      </w:r>
      <w:r>
        <w:rPr>
          <w:rFonts w:ascii="Times New Roman" w:hAnsi="Times New Roman" w:cs="Times New Roman"/>
          <w:sz w:val="24"/>
          <w:szCs w:val="24"/>
        </w:rPr>
        <w:t>“</w:t>
      </w:r>
      <w:r w:rsidRPr="002E3460">
        <w:rPr>
          <w:rFonts w:ascii="Times New Roman" w:hAnsi="Times New Roman" w:cs="Times New Roman"/>
          <w:sz w:val="24"/>
          <w:szCs w:val="24"/>
        </w:rPr>
        <w:t>Elaboración del Balance Social caso: Cooperativa de Ahorro y Crédito Frente de Reivindicación del Magisterio del Austro</w:t>
      </w:r>
      <w:r>
        <w:rPr>
          <w:rFonts w:ascii="Times New Roman" w:hAnsi="Times New Roman" w:cs="Times New Roman"/>
          <w:sz w:val="24"/>
          <w:szCs w:val="24"/>
        </w:rPr>
        <w:t xml:space="preserve">” (Tesis de grado), en </w:t>
      </w:r>
      <w:r w:rsidRPr="00303426">
        <w:rPr>
          <w:rFonts w:ascii="Times New Roman" w:hAnsi="Times New Roman" w:cs="Times New Roman"/>
          <w:i/>
          <w:sz w:val="24"/>
          <w:szCs w:val="24"/>
        </w:rPr>
        <w:t>Universidad Politécnica Salesiana</w:t>
      </w:r>
      <w:r>
        <w:rPr>
          <w:rFonts w:ascii="Times New Roman" w:hAnsi="Times New Roman" w:cs="Times New Roman"/>
          <w:i/>
          <w:sz w:val="24"/>
          <w:szCs w:val="24"/>
        </w:rPr>
        <w:t>:</w:t>
      </w:r>
      <w:r>
        <w:rPr>
          <w:rFonts w:ascii="Times New Roman" w:hAnsi="Times New Roman" w:cs="Times New Roman"/>
          <w:sz w:val="24"/>
          <w:szCs w:val="24"/>
        </w:rPr>
        <w:t xml:space="preserve"> Ecuador.</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954FA0">
        <w:rPr>
          <w:rFonts w:ascii="Times New Roman" w:hAnsi="Times New Roman" w:cs="Times New Roman"/>
          <w:sz w:val="24"/>
          <w:szCs w:val="24"/>
        </w:rPr>
        <w:t>Orellana, Enriqu</w:t>
      </w:r>
      <w:r>
        <w:rPr>
          <w:rFonts w:ascii="Times New Roman" w:hAnsi="Times New Roman" w:cs="Times New Roman"/>
          <w:sz w:val="24"/>
          <w:szCs w:val="24"/>
        </w:rPr>
        <w:t>e (2009)</w:t>
      </w:r>
      <w:r w:rsidRPr="002E3460">
        <w:rPr>
          <w:rFonts w:ascii="Times New Roman" w:hAnsi="Times New Roman" w:cs="Times New Roman"/>
          <w:sz w:val="24"/>
          <w:szCs w:val="24"/>
        </w:rPr>
        <w:t xml:space="preserve">, </w:t>
      </w:r>
      <w:r>
        <w:rPr>
          <w:rFonts w:ascii="Times New Roman" w:hAnsi="Times New Roman" w:cs="Times New Roman"/>
          <w:sz w:val="24"/>
          <w:szCs w:val="24"/>
        </w:rPr>
        <w:t>“</w:t>
      </w:r>
      <w:r w:rsidRPr="002E3460">
        <w:rPr>
          <w:rFonts w:ascii="Times New Roman" w:hAnsi="Times New Roman" w:cs="Times New Roman"/>
          <w:sz w:val="24"/>
          <w:szCs w:val="24"/>
        </w:rPr>
        <w:t>Las Finanzas Sociales y Solidarias en el Ecuador</w:t>
      </w:r>
      <w:r>
        <w:rPr>
          <w:rFonts w:ascii="Times New Roman" w:hAnsi="Times New Roman" w:cs="Times New Roman"/>
          <w:sz w:val="24"/>
          <w:szCs w:val="24"/>
        </w:rPr>
        <w:t>.</w:t>
      </w:r>
      <w:r w:rsidRPr="002E3460">
        <w:rPr>
          <w:rFonts w:ascii="Times New Roman" w:hAnsi="Times New Roman" w:cs="Times New Roman"/>
          <w:sz w:val="24"/>
          <w:szCs w:val="24"/>
        </w:rPr>
        <w:t xml:space="preserve"> Verdades y Desafíos</w:t>
      </w:r>
      <w:r>
        <w:rPr>
          <w:rFonts w:ascii="Times New Roman" w:hAnsi="Times New Roman" w:cs="Times New Roman"/>
          <w:sz w:val="24"/>
          <w:szCs w:val="24"/>
        </w:rPr>
        <w:t xml:space="preserve">”, en </w:t>
      </w:r>
      <w:r w:rsidRPr="00954FA0">
        <w:rPr>
          <w:rFonts w:ascii="Times New Roman" w:hAnsi="Times New Roman" w:cs="Times New Roman"/>
          <w:i/>
          <w:sz w:val="24"/>
          <w:szCs w:val="24"/>
        </w:rPr>
        <w:t>Editorial Universidad Politécnica Salesiana de Ecuador</w:t>
      </w:r>
      <w:r w:rsidRPr="002E3460">
        <w:rPr>
          <w:rFonts w:ascii="Times New Roman" w:hAnsi="Times New Roman" w:cs="Times New Roman"/>
          <w:sz w:val="24"/>
          <w:szCs w:val="24"/>
        </w:rPr>
        <w:t xml:space="preserve"> </w:t>
      </w:r>
      <w:r w:rsidRPr="00954FA0">
        <w:rPr>
          <w:rFonts w:ascii="Times New Roman" w:hAnsi="Times New Roman" w:cs="Times New Roman"/>
          <w:i/>
          <w:sz w:val="24"/>
          <w:szCs w:val="24"/>
        </w:rPr>
        <w:t>Quito</w:t>
      </w:r>
      <w:r w:rsidRPr="002E3460">
        <w:rPr>
          <w:rFonts w:ascii="Times New Roman" w:hAnsi="Times New Roman" w:cs="Times New Roman"/>
          <w:sz w:val="24"/>
          <w:szCs w:val="24"/>
        </w:rPr>
        <w:t xml:space="preserve">. </w:t>
      </w:r>
    </w:p>
    <w:p w:rsidR="00B30CD2"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Páez</w:t>
      </w:r>
      <w:r>
        <w:rPr>
          <w:rFonts w:ascii="Times New Roman" w:hAnsi="Times New Roman" w:cs="Times New Roman"/>
          <w:sz w:val="24"/>
          <w:szCs w:val="24"/>
        </w:rPr>
        <w:t>,</w:t>
      </w:r>
      <w:r w:rsidRPr="002E3460">
        <w:rPr>
          <w:rFonts w:ascii="Times New Roman" w:hAnsi="Times New Roman" w:cs="Times New Roman"/>
          <w:sz w:val="24"/>
          <w:szCs w:val="24"/>
        </w:rPr>
        <w:t xml:space="preserve"> J. R.</w:t>
      </w:r>
      <w:r>
        <w:rPr>
          <w:rFonts w:ascii="Times New Roman" w:hAnsi="Times New Roman" w:cs="Times New Roman"/>
          <w:sz w:val="24"/>
          <w:szCs w:val="24"/>
        </w:rPr>
        <w:t xml:space="preserve"> (2013),</w:t>
      </w:r>
      <w:r w:rsidRPr="002E3460">
        <w:rPr>
          <w:rFonts w:ascii="Times New Roman" w:hAnsi="Times New Roman" w:cs="Times New Roman"/>
          <w:sz w:val="24"/>
          <w:szCs w:val="24"/>
        </w:rPr>
        <w:t xml:space="preserve"> </w:t>
      </w:r>
      <w:r>
        <w:rPr>
          <w:rFonts w:ascii="Times New Roman" w:hAnsi="Times New Roman" w:cs="Times New Roman"/>
          <w:sz w:val="24"/>
          <w:szCs w:val="24"/>
        </w:rPr>
        <w:t>“</w:t>
      </w:r>
      <w:r w:rsidRPr="002E3460">
        <w:rPr>
          <w:rFonts w:ascii="Times New Roman" w:hAnsi="Times New Roman" w:cs="Times New Roman"/>
          <w:sz w:val="24"/>
          <w:szCs w:val="24"/>
        </w:rPr>
        <w:t>Estudios sobre Economía Popular y Solidaria. SEPS. Intendencia de Estadísticas, Estudios y Normas de la EPS y SFPS</w:t>
      </w:r>
      <w:r>
        <w:rPr>
          <w:rFonts w:ascii="Times New Roman" w:hAnsi="Times New Roman" w:cs="Times New Roman"/>
          <w:sz w:val="24"/>
          <w:szCs w:val="24"/>
        </w:rPr>
        <w:t>”</w:t>
      </w:r>
      <w:r>
        <w:rPr>
          <w:rFonts w:ascii="Times New Roman" w:hAnsi="Times New Roman" w:cs="Times New Roman"/>
          <w:sz w:val="24"/>
          <w:szCs w:val="24"/>
        </w:rPr>
        <w:t xml:space="preserve">, </w:t>
      </w:r>
      <w:r w:rsidRPr="002E3460">
        <w:rPr>
          <w:rFonts w:ascii="Times New Roman" w:hAnsi="Times New Roman" w:cs="Times New Roman"/>
          <w:sz w:val="24"/>
          <w:szCs w:val="24"/>
        </w:rPr>
        <w:t>Quito</w:t>
      </w:r>
      <w:r w:rsidRPr="002E3460">
        <w:rPr>
          <w:rFonts w:ascii="Times New Roman" w:hAnsi="Times New Roman" w:cs="Times New Roman"/>
          <w:sz w:val="24"/>
          <w:szCs w:val="24"/>
        </w:rPr>
        <w:t xml:space="preserve">: V&amp;M Gráficas.   </w:t>
      </w:r>
    </w:p>
    <w:p w:rsidR="00B30CD2"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 xml:space="preserve">Patiño, </w:t>
      </w:r>
      <w:r w:rsidRPr="007873AF">
        <w:rPr>
          <w:rFonts w:ascii="Times New Roman" w:hAnsi="Times New Roman" w:cs="Times New Roman"/>
          <w:sz w:val="24"/>
          <w:szCs w:val="24"/>
        </w:rPr>
        <w:t>Dilia Paola Gómez</w:t>
      </w:r>
      <w:r w:rsidRPr="002E3460">
        <w:rPr>
          <w:rFonts w:ascii="Times New Roman" w:hAnsi="Times New Roman" w:cs="Times New Roman"/>
          <w:sz w:val="24"/>
          <w:szCs w:val="24"/>
        </w:rPr>
        <w:t xml:space="preserve"> (2011)</w:t>
      </w:r>
      <w:r>
        <w:rPr>
          <w:rFonts w:ascii="Times New Roman" w:hAnsi="Times New Roman" w:cs="Times New Roman"/>
          <w:sz w:val="24"/>
          <w:szCs w:val="24"/>
        </w:rPr>
        <w:t>,</w:t>
      </w:r>
      <w:r w:rsidRPr="002E3460">
        <w:rPr>
          <w:rFonts w:ascii="Times New Roman" w:hAnsi="Times New Roman" w:cs="Times New Roman"/>
          <w:sz w:val="24"/>
          <w:szCs w:val="24"/>
        </w:rPr>
        <w:t xml:space="preserve"> </w:t>
      </w:r>
      <w:r>
        <w:rPr>
          <w:rFonts w:ascii="Times New Roman" w:hAnsi="Times New Roman" w:cs="Times New Roman"/>
          <w:sz w:val="24"/>
          <w:szCs w:val="24"/>
        </w:rPr>
        <w:t>“</w:t>
      </w:r>
      <w:r w:rsidRPr="002E3460">
        <w:rPr>
          <w:rFonts w:ascii="Times New Roman" w:hAnsi="Times New Roman" w:cs="Times New Roman"/>
          <w:sz w:val="24"/>
          <w:szCs w:val="24"/>
        </w:rPr>
        <w:t>El Pacto Global de las Naciones Unidas: sobre la responsabilidad social, la anticorrupción y la seguridad</w:t>
      </w:r>
      <w:r>
        <w:rPr>
          <w:rFonts w:ascii="Times New Roman" w:hAnsi="Times New Roman" w:cs="Times New Roman"/>
          <w:sz w:val="24"/>
          <w:szCs w:val="24"/>
        </w:rPr>
        <w:t xml:space="preserve">”, en </w:t>
      </w:r>
      <w:r w:rsidRPr="007873AF">
        <w:rPr>
          <w:rFonts w:ascii="Times New Roman" w:hAnsi="Times New Roman" w:cs="Times New Roman"/>
          <w:i/>
          <w:sz w:val="24"/>
          <w:szCs w:val="24"/>
        </w:rPr>
        <w:t>Revista Prolegómenos. Derechos y Valores de la Facultad de Derecho</w:t>
      </w:r>
      <w:r w:rsidRPr="002E3460">
        <w:rPr>
          <w:rFonts w:ascii="Times New Roman" w:hAnsi="Times New Roman" w:cs="Times New Roman"/>
          <w:sz w:val="24"/>
          <w:szCs w:val="24"/>
        </w:rPr>
        <w:t>, </w:t>
      </w:r>
      <w:r>
        <w:rPr>
          <w:rFonts w:ascii="Times New Roman" w:hAnsi="Times New Roman" w:cs="Times New Roman"/>
          <w:sz w:val="24"/>
          <w:szCs w:val="24"/>
        </w:rPr>
        <w:t xml:space="preserve">vol. </w:t>
      </w:r>
      <w:r w:rsidRPr="002E3460">
        <w:rPr>
          <w:rFonts w:ascii="Times New Roman" w:hAnsi="Times New Roman" w:cs="Times New Roman"/>
          <w:sz w:val="24"/>
          <w:szCs w:val="24"/>
        </w:rPr>
        <w:t>4</w:t>
      </w:r>
      <w:r>
        <w:rPr>
          <w:rFonts w:ascii="Times New Roman" w:hAnsi="Times New Roman" w:cs="Times New Roman"/>
          <w:sz w:val="24"/>
          <w:szCs w:val="24"/>
        </w:rPr>
        <w:t xml:space="preserve">, núm. </w:t>
      </w:r>
      <w:r w:rsidRPr="002E3460">
        <w:rPr>
          <w:rFonts w:ascii="Times New Roman" w:hAnsi="Times New Roman" w:cs="Times New Roman"/>
          <w:sz w:val="24"/>
          <w:szCs w:val="24"/>
        </w:rPr>
        <w:t>28.</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A84D51">
        <w:rPr>
          <w:rFonts w:ascii="Times New Roman" w:hAnsi="Times New Roman" w:cs="Times New Roman"/>
          <w:sz w:val="24"/>
          <w:szCs w:val="24"/>
        </w:rPr>
        <w:t>Registro Oficial</w:t>
      </w:r>
      <w:r>
        <w:rPr>
          <w:rFonts w:ascii="Times New Roman" w:hAnsi="Times New Roman" w:cs="Times New Roman"/>
          <w:sz w:val="24"/>
          <w:szCs w:val="24"/>
        </w:rPr>
        <w:t xml:space="preserve"> (2014), “</w:t>
      </w:r>
      <w:r w:rsidRPr="002E3460">
        <w:rPr>
          <w:rFonts w:ascii="Times New Roman" w:hAnsi="Times New Roman" w:cs="Times New Roman"/>
          <w:sz w:val="24"/>
          <w:szCs w:val="24"/>
        </w:rPr>
        <w:t>Código Monetario y Financiero. Asamblea Nacional</w:t>
      </w:r>
      <w:r>
        <w:rPr>
          <w:rFonts w:ascii="Times New Roman" w:hAnsi="Times New Roman" w:cs="Times New Roman"/>
          <w:sz w:val="24"/>
          <w:szCs w:val="24"/>
        </w:rPr>
        <w:t xml:space="preserve">”, </w:t>
      </w:r>
      <w:r w:rsidRPr="002E3460">
        <w:rPr>
          <w:rFonts w:ascii="Times New Roman" w:hAnsi="Times New Roman" w:cs="Times New Roman"/>
          <w:sz w:val="24"/>
          <w:szCs w:val="24"/>
        </w:rPr>
        <w:t xml:space="preserve">República del Ecuador, Quito. </w:t>
      </w:r>
    </w:p>
    <w:p w:rsidR="003A14CC" w:rsidRPr="002E3460" w:rsidRDefault="003A14CC" w:rsidP="00D04635">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lastRenderedPageBreak/>
        <w:t>Salazar</w:t>
      </w:r>
      <w:r w:rsidR="00E7718B" w:rsidRPr="002E3460">
        <w:rPr>
          <w:rFonts w:ascii="Times New Roman" w:hAnsi="Times New Roman" w:cs="Times New Roman"/>
          <w:sz w:val="24"/>
          <w:szCs w:val="24"/>
        </w:rPr>
        <w:t xml:space="preserve">, </w:t>
      </w:r>
      <w:r w:rsidR="00E7718B" w:rsidRPr="002E3460">
        <w:rPr>
          <w:rFonts w:ascii="Times New Roman" w:hAnsi="Times New Roman" w:cs="Times New Roman"/>
          <w:color w:val="222222"/>
          <w:sz w:val="24"/>
          <w:szCs w:val="24"/>
          <w:shd w:val="clear" w:color="auto" w:fill="FFFFFF"/>
        </w:rPr>
        <w:t>Hernando Zabala</w:t>
      </w:r>
      <w:r w:rsidR="00E7718B" w:rsidRPr="002E3460">
        <w:rPr>
          <w:rFonts w:ascii="Times New Roman" w:hAnsi="Times New Roman" w:cs="Times New Roman"/>
          <w:sz w:val="24"/>
          <w:szCs w:val="24"/>
        </w:rPr>
        <w:t xml:space="preserve"> </w:t>
      </w:r>
      <w:r w:rsidRPr="002E3460">
        <w:rPr>
          <w:rFonts w:ascii="Times New Roman" w:hAnsi="Times New Roman" w:cs="Times New Roman"/>
          <w:sz w:val="24"/>
          <w:szCs w:val="24"/>
        </w:rPr>
        <w:t>(2008)</w:t>
      </w:r>
      <w:r w:rsidR="002C2D94">
        <w:rPr>
          <w:rFonts w:ascii="Times New Roman" w:hAnsi="Times New Roman" w:cs="Times New Roman"/>
          <w:sz w:val="24"/>
          <w:szCs w:val="24"/>
        </w:rPr>
        <w:t>,</w:t>
      </w:r>
      <w:r w:rsidRPr="002E3460">
        <w:rPr>
          <w:rFonts w:ascii="Times New Roman" w:hAnsi="Times New Roman" w:cs="Times New Roman"/>
          <w:sz w:val="24"/>
          <w:szCs w:val="24"/>
        </w:rPr>
        <w:t xml:space="preserve"> </w:t>
      </w:r>
      <w:r w:rsidR="006A3420">
        <w:rPr>
          <w:rFonts w:ascii="Times New Roman" w:hAnsi="Times New Roman" w:cs="Times New Roman"/>
          <w:sz w:val="24"/>
          <w:szCs w:val="24"/>
        </w:rPr>
        <w:t>“</w:t>
      </w:r>
      <w:r w:rsidR="00735A61" w:rsidRPr="002C2D94">
        <w:rPr>
          <w:rFonts w:ascii="Times New Roman" w:hAnsi="Times New Roman" w:cs="Times New Roman"/>
          <w:sz w:val="24"/>
          <w:szCs w:val="24"/>
        </w:rPr>
        <w:t>Construcción de un modelo de balance social para el cooperativismo de una región latinoamericana: el caso de Antioquia</w:t>
      </w:r>
      <w:r w:rsidR="00735A61" w:rsidRPr="002E3460">
        <w:rPr>
          <w:rFonts w:ascii="Times New Roman" w:hAnsi="Times New Roman" w:cs="Times New Roman"/>
          <w:sz w:val="24"/>
          <w:szCs w:val="24"/>
        </w:rPr>
        <w:t xml:space="preserve"> </w:t>
      </w:r>
      <w:r w:rsidRPr="002E3460">
        <w:rPr>
          <w:rFonts w:ascii="Times New Roman" w:hAnsi="Times New Roman" w:cs="Times New Roman"/>
          <w:sz w:val="24"/>
          <w:szCs w:val="24"/>
        </w:rPr>
        <w:t>(</w:t>
      </w:r>
      <w:r w:rsidR="002C2D94">
        <w:rPr>
          <w:rFonts w:ascii="Times New Roman" w:hAnsi="Times New Roman" w:cs="Times New Roman"/>
          <w:sz w:val="24"/>
          <w:szCs w:val="24"/>
        </w:rPr>
        <w:t>Colombia</w:t>
      </w:r>
      <w:r w:rsidRPr="002E3460">
        <w:rPr>
          <w:rFonts w:ascii="Times New Roman" w:hAnsi="Times New Roman" w:cs="Times New Roman"/>
          <w:sz w:val="24"/>
          <w:szCs w:val="24"/>
        </w:rPr>
        <w:t>)</w:t>
      </w:r>
      <w:r w:rsidR="006A3420">
        <w:rPr>
          <w:rFonts w:ascii="Times New Roman" w:hAnsi="Times New Roman" w:cs="Times New Roman"/>
          <w:sz w:val="24"/>
          <w:szCs w:val="24"/>
        </w:rPr>
        <w:t>”</w:t>
      </w:r>
      <w:r w:rsidRPr="002E3460">
        <w:rPr>
          <w:rFonts w:ascii="Times New Roman" w:hAnsi="Times New Roman" w:cs="Times New Roman"/>
          <w:sz w:val="24"/>
          <w:szCs w:val="24"/>
        </w:rPr>
        <w:t>.</w:t>
      </w:r>
    </w:p>
    <w:p w:rsidR="003072CE" w:rsidRDefault="00037B8E" w:rsidP="00D04635">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Superintendencia de Economía Popular y Solidaria</w:t>
      </w:r>
      <w:r>
        <w:rPr>
          <w:rFonts w:ascii="Times New Roman" w:hAnsi="Times New Roman" w:cs="Times New Roman"/>
          <w:sz w:val="24"/>
          <w:szCs w:val="24"/>
        </w:rPr>
        <w:t xml:space="preserve"> (2011), “</w:t>
      </w:r>
      <w:r w:rsidR="003072CE" w:rsidRPr="002E3460">
        <w:rPr>
          <w:rFonts w:ascii="Times New Roman" w:hAnsi="Times New Roman" w:cs="Times New Roman"/>
          <w:sz w:val="24"/>
          <w:szCs w:val="24"/>
        </w:rPr>
        <w:t>LOEPS</w:t>
      </w:r>
      <w:r>
        <w:rPr>
          <w:rFonts w:ascii="Times New Roman" w:hAnsi="Times New Roman" w:cs="Times New Roman"/>
          <w:sz w:val="24"/>
          <w:szCs w:val="24"/>
        </w:rPr>
        <w:t xml:space="preserve"> </w:t>
      </w:r>
      <w:r w:rsidR="003072CE" w:rsidRPr="002E3460">
        <w:rPr>
          <w:rFonts w:ascii="Times New Roman" w:hAnsi="Times New Roman" w:cs="Times New Roman"/>
          <w:sz w:val="24"/>
          <w:szCs w:val="24"/>
        </w:rPr>
        <w:t>Ley Orgánica de Economía Popular y Solidaria</w:t>
      </w:r>
      <w:r>
        <w:rPr>
          <w:rFonts w:ascii="Times New Roman" w:hAnsi="Times New Roman" w:cs="Times New Roman"/>
          <w:sz w:val="24"/>
          <w:szCs w:val="24"/>
        </w:rPr>
        <w:t xml:space="preserve">”, </w:t>
      </w:r>
      <w:r w:rsidR="003072CE" w:rsidRPr="002E3460">
        <w:rPr>
          <w:rFonts w:ascii="Times New Roman" w:hAnsi="Times New Roman" w:cs="Times New Roman"/>
          <w:sz w:val="24"/>
          <w:szCs w:val="24"/>
        </w:rPr>
        <w:t>Quito</w:t>
      </w:r>
      <w:r w:rsidR="00AF3924">
        <w:rPr>
          <w:rFonts w:ascii="Times New Roman" w:hAnsi="Times New Roman" w:cs="Times New Roman"/>
          <w:sz w:val="24"/>
          <w:szCs w:val="24"/>
        </w:rPr>
        <w:t>.</w:t>
      </w:r>
    </w:p>
    <w:p w:rsidR="00B30CD2" w:rsidRPr="002E3460" w:rsidRDefault="00B30CD2" w:rsidP="00B30CD2">
      <w:pPr>
        <w:pStyle w:val="Prrafodelista"/>
        <w:numPr>
          <w:ilvl w:val="0"/>
          <w:numId w:val="2"/>
        </w:numPr>
        <w:spacing w:line="360" w:lineRule="auto"/>
        <w:jc w:val="both"/>
        <w:rPr>
          <w:rFonts w:ascii="Times New Roman" w:hAnsi="Times New Roman" w:cs="Times New Roman"/>
          <w:sz w:val="24"/>
          <w:szCs w:val="24"/>
        </w:rPr>
      </w:pPr>
      <w:r w:rsidRPr="002E3460">
        <w:rPr>
          <w:rFonts w:ascii="Times New Roman" w:hAnsi="Times New Roman" w:cs="Times New Roman"/>
          <w:sz w:val="24"/>
          <w:szCs w:val="24"/>
        </w:rPr>
        <w:t>Superintendencia de Economía Popular y Solidaria</w:t>
      </w:r>
      <w:r>
        <w:rPr>
          <w:rFonts w:ascii="Times New Roman" w:hAnsi="Times New Roman" w:cs="Times New Roman"/>
          <w:sz w:val="24"/>
          <w:szCs w:val="24"/>
        </w:rPr>
        <w:t xml:space="preserve"> </w:t>
      </w:r>
      <w:r w:rsidRPr="002E3460">
        <w:rPr>
          <w:rFonts w:ascii="Times New Roman" w:hAnsi="Times New Roman" w:cs="Times New Roman"/>
          <w:sz w:val="24"/>
          <w:szCs w:val="24"/>
        </w:rPr>
        <w:t>SEPS</w:t>
      </w:r>
      <w:r>
        <w:rPr>
          <w:rFonts w:ascii="Times New Roman" w:hAnsi="Times New Roman" w:cs="Times New Roman"/>
          <w:sz w:val="24"/>
          <w:szCs w:val="24"/>
        </w:rPr>
        <w:t xml:space="preserve"> (</w:t>
      </w:r>
      <w:r w:rsidRPr="002E3460">
        <w:rPr>
          <w:rFonts w:ascii="Times New Roman" w:hAnsi="Times New Roman" w:cs="Times New Roman"/>
          <w:sz w:val="24"/>
          <w:szCs w:val="24"/>
        </w:rPr>
        <w:t>2015</w:t>
      </w:r>
      <w:r>
        <w:rPr>
          <w:rFonts w:ascii="Times New Roman" w:hAnsi="Times New Roman" w:cs="Times New Roman"/>
          <w:sz w:val="24"/>
          <w:szCs w:val="24"/>
        </w:rPr>
        <w:t xml:space="preserve">) en </w:t>
      </w:r>
      <w:r w:rsidRPr="008E6A19">
        <w:rPr>
          <w:rFonts w:ascii="Times New Roman" w:hAnsi="Times New Roman" w:cs="Times New Roman"/>
          <w:sz w:val="24"/>
          <w:szCs w:val="24"/>
        </w:rPr>
        <w:t>‹</w:t>
      </w:r>
      <w:r w:rsidRPr="002E3460">
        <w:rPr>
          <w:rFonts w:ascii="Times New Roman" w:hAnsi="Times New Roman" w:cs="Times New Roman"/>
          <w:sz w:val="24"/>
          <w:szCs w:val="24"/>
        </w:rPr>
        <w:t>http://www.seps.gob.ec/</w:t>
      </w:r>
      <w:proofErr w:type="spellStart"/>
      <w:r w:rsidRPr="002E3460">
        <w:rPr>
          <w:rFonts w:ascii="Times New Roman" w:hAnsi="Times New Roman" w:cs="Times New Roman"/>
          <w:sz w:val="24"/>
          <w:szCs w:val="24"/>
        </w:rPr>
        <w:t>estadisticas</w:t>
      </w:r>
      <w:proofErr w:type="spellEnd"/>
      <w:r w:rsidRPr="008E6A19">
        <w:rPr>
          <w:rFonts w:ascii="Times New Roman" w:hAnsi="Times New Roman" w:cs="Times New Roman"/>
          <w:sz w:val="24"/>
          <w:szCs w:val="24"/>
        </w:rPr>
        <w:t>›</w:t>
      </w:r>
    </w:p>
    <w:p w:rsidR="00556842" w:rsidRDefault="00E13F79" w:rsidP="00E13F79">
      <w:pPr>
        <w:pStyle w:val="Prrafodelista"/>
        <w:numPr>
          <w:ilvl w:val="0"/>
          <w:numId w:val="2"/>
        </w:numPr>
        <w:spacing w:line="360" w:lineRule="auto"/>
        <w:jc w:val="both"/>
        <w:rPr>
          <w:rFonts w:ascii="Times New Roman" w:hAnsi="Times New Roman" w:cs="Times New Roman"/>
          <w:sz w:val="24"/>
          <w:szCs w:val="24"/>
        </w:rPr>
      </w:pPr>
      <w:r w:rsidRPr="00E13F79">
        <w:rPr>
          <w:rFonts w:ascii="Times New Roman" w:hAnsi="Times New Roman" w:cs="Times New Roman"/>
          <w:sz w:val="24"/>
          <w:szCs w:val="24"/>
        </w:rPr>
        <w:t>Viteri, J., &amp; Jácome, M.</w:t>
      </w:r>
      <w:r w:rsidR="00556842" w:rsidRPr="002E3460">
        <w:rPr>
          <w:rFonts w:ascii="Times New Roman" w:hAnsi="Times New Roman" w:cs="Times New Roman"/>
          <w:sz w:val="24"/>
          <w:szCs w:val="24"/>
        </w:rPr>
        <w:t xml:space="preserve">, </w:t>
      </w:r>
      <w:r>
        <w:rPr>
          <w:rFonts w:ascii="Times New Roman" w:hAnsi="Times New Roman" w:cs="Times New Roman"/>
          <w:sz w:val="24"/>
          <w:szCs w:val="24"/>
        </w:rPr>
        <w:t>(2013), “</w:t>
      </w:r>
      <w:r w:rsidR="00556842" w:rsidRPr="002E3460">
        <w:rPr>
          <w:rFonts w:ascii="Times New Roman" w:hAnsi="Times New Roman" w:cs="Times New Roman"/>
          <w:sz w:val="24"/>
          <w:szCs w:val="24"/>
        </w:rPr>
        <w:t>La Responsabilidad Social como modelo de gestión empresarial</w:t>
      </w:r>
      <w:r>
        <w:rPr>
          <w:rFonts w:ascii="Times New Roman" w:hAnsi="Times New Roman" w:cs="Times New Roman"/>
          <w:sz w:val="24"/>
          <w:szCs w:val="24"/>
        </w:rPr>
        <w:t xml:space="preserve">”, en </w:t>
      </w:r>
      <w:r w:rsidRPr="00E13F79">
        <w:rPr>
          <w:rFonts w:ascii="Times New Roman" w:hAnsi="Times New Roman" w:cs="Times New Roman"/>
          <w:i/>
          <w:sz w:val="24"/>
          <w:szCs w:val="24"/>
        </w:rPr>
        <w:t>EIDOS</w:t>
      </w:r>
      <w:r w:rsidR="00556842" w:rsidRPr="002E3460">
        <w:rPr>
          <w:rFonts w:ascii="Times New Roman" w:hAnsi="Times New Roman" w:cs="Times New Roman"/>
          <w:sz w:val="24"/>
          <w:szCs w:val="24"/>
        </w:rPr>
        <w:t xml:space="preserve">, </w:t>
      </w:r>
      <w:r>
        <w:rPr>
          <w:rFonts w:ascii="Times New Roman" w:hAnsi="Times New Roman" w:cs="Times New Roman"/>
          <w:sz w:val="24"/>
          <w:szCs w:val="24"/>
        </w:rPr>
        <w:t xml:space="preserve">núm. </w:t>
      </w:r>
      <w:r w:rsidR="00556842" w:rsidRPr="002E3460">
        <w:rPr>
          <w:rFonts w:ascii="Times New Roman" w:hAnsi="Times New Roman" w:cs="Times New Roman"/>
          <w:sz w:val="24"/>
          <w:szCs w:val="24"/>
        </w:rPr>
        <w:t xml:space="preserve">4, 92-100.  </w:t>
      </w:r>
    </w:p>
    <w:p w:rsidR="00B30CD2" w:rsidRPr="00B30CD2" w:rsidRDefault="00B30CD2" w:rsidP="00EE597D">
      <w:pPr>
        <w:pStyle w:val="Prrafodelista"/>
        <w:numPr>
          <w:ilvl w:val="0"/>
          <w:numId w:val="2"/>
        </w:numPr>
        <w:spacing w:line="360" w:lineRule="auto"/>
        <w:jc w:val="both"/>
        <w:rPr>
          <w:rFonts w:ascii="Times New Roman" w:hAnsi="Times New Roman" w:cs="Times New Roman"/>
          <w:sz w:val="24"/>
          <w:szCs w:val="24"/>
        </w:rPr>
      </w:pPr>
      <w:r w:rsidRPr="00B30CD2">
        <w:rPr>
          <w:rFonts w:ascii="Times New Roman" w:hAnsi="Times New Roman" w:cs="Times New Roman"/>
          <w:sz w:val="24"/>
          <w:szCs w:val="24"/>
        </w:rPr>
        <w:t xml:space="preserve">Zamora, Dolores </w:t>
      </w:r>
      <w:proofErr w:type="spellStart"/>
      <w:r w:rsidRPr="00B30CD2">
        <w:rPr>
          <w:rFonts w:ascii="Times New Roman" w:hAnsi="Times New Roman" w:cs="Times New Roman"/>
          <w:sz w:val="24"/>
          <w:szCs w:val="24"/>
        </w:rPr>
        <w:t>Tous</w:t>
      </w:r>
      <w:proofErr w:type="spellEnd"/>
      <w:r w:rsidRPr="00B30CD2">
        <w:rPr>
          <w:rFonts w:ascii="Times New Roman" w:hAnsi="Times New Roman" w:cs="Times New Roman"/>
          <w:sz w:val="24"/>
          <w:szCs w:val="24"/>
        </w:rPr>
        <w:t xml:space="preserve">; Lorenzo, Antonio Manuel Ciruela (2005), “Responsabilidad Social y cultura en las sociedades cooperativas agrarias”, en </w:t>
      </w:r>
      <w:r w:rsidRPr="00B30CD2">
        <w:rPr>
          <w:rFonts w:ascii="Times New Roman" w:hAnsi="Times New Roman" w:cs="Times New Roman"/>
          <w:i/>
          <w:sz w:val="24"/>
          <w:szCs w:val="24"/>
        </w:rPr>
        <w:t>Revista de Economía Pública, Social y Cooperativa</w:t>
      </w:r>
      <w:r w:rsidRPr="00B30CD2">
        <w:rPr>
          <w:rFonts w:ascii="Times New Roman" w:hAnsi="Times New Roman" w:cs="Times New Roman"/>
          <w:sz w:val="24"/>
          <w:szCs w:val="24"/>
        </w:rPr>
        <w:t xml:space="preserve">, núm. 53, 209-240: CIRIEC.   </w:t>
      </w: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815C40" w:rsidRDefault="00815C40">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D7112B" w:rsidRPr="00D7112B" w:rsidRDefault="00D7112B" w:rsidP="00D04635">
      <w:pPr>
        <w:spacing w:after="0" w:line="360" w:lineRule="auto"/>
        <w:ind w:firstLine="426"/>
        <w:jc w:val="both"/>
        <w:rPr>
          <w:rFonts w:ascii="Times New Roman" w:hAnsi="Times New Roman" w:cs="Times New Roman"/>
          <w:sz w:val="24"/>
          <w:szCs w:val="24"/>
          <w:highlight w:val="yellow"/>
        </w:rPr>
      </w:pPr>
      <w:r w:rsidRPr="00D7112B">
        <w:rPr>
          <w:rFonts w:ascii="Times New Roman" w:hAnsi="Times New Roman" w:cs="Times New Roman"/>
          <w:sz w:val="24"/>
          <w:szCs w:val="24"/>
          <w:highlight w:val="yellow"/>
        </w:rPr>
        <w:lastRenderedPageBreak/>
        <w:t>Tabla I</w:t>
      </w:r>
    </w:p>
    <w:p w:rsidR="00D7112B" w:rsidRPr="002E3460" w:rsidRDefault="00D7112B" w:rsidP="00D04635">
      <w:pPr>
        <w:pStyle w:val="Descripcin"/>
        <w:spacing w:after="0" w:line="360" w:lineRule="auto"/>
        <w:rPr>
          <w:i w:val="0"/>
          <w:sz w:val="24"/>
          <w:szCs w:val="24"/>
        </w:rPr>
      </w:pPr>
      <w:r w:rsidRPr="00D7112B">
        <w:rPr>
          <w:color w:val="auto"/>
          <w:sz w:val="24"/>
          <w:szCs w:val="24"/>
          <w:highlight w:val="yellow"/>
        </w:rPr>
        <w:t xml:space="preserve">Número de socios y clientes activos de la </w:t>
      </w:r>
      <w:r w:rsidR="007D0FE8">
        <w:rPr>
          <w:color w:val="auto"/>
          <w:sz w:val="24"/>
          <w:szCs w:val="24"/>
          <w:highlight w:val="yellow"/>
        </w:rPr>
        <w:t xml:space="preserve"> Institución</w:t>
      </w:r>
      <w:r w:rsidRPr="00D7112B">
        <w:rPr>
          <w:color w:val="auto"/>
          <w:sz w:val="24"/>
          <w:szCs w:val="24"/>
          <w:highlight w:val="yellow"/>
        </w:rPr>
        <w:t>.</w:t>
      </w:r>
    </w:p>
    <w:tbl>
      <w:tblPr>
        <w:tblW w:w="7929" w:type="dxa"/>
        <w:jc w:val="center"/>
        <w:tblCellMar>
          <w:left w:w="70" w:type="dxa"/>
          <w:right w:w="70" w:type="dxa"/>
        </w:tblCellMar>
        <w:tblLook w:val="04A0" w:firstRow="1" w:lastRow="0" w:firstColumn="1" w:lastColumn="0" w:noHBand="0" w:noVBand="1"/>
      </w:tblPr>
      <w:tblGrid>
        <w:gridCol w:w="1292"/>
        <w:gridCol w:w="1478"/>
        <w:gridCol w:w="2096"/>
        <w:gridCol w:w="1493"/>
        <w:gridCol w:w="1570"/>
      </w:tblGrid>
      <w:tr w:rsidR="00D7112B" w:rsidRPr="002E3460" w:rsidTr="00D7112B">
        <w:trPr>
          <w:trHeight w:val="316"/>
          <w:jc w:val="center"/>
        </w:trPr>
        <w:tc>
          <w:tcPr>
            <w:tcW w:w="1292" w:type="dxa"/>
            <w:vMerge w:val="restart"/>
            <w:tcBorders>
              <w:top w:val="single" w:sz="8" w:space="0" w:color="auto"/>
              <w:left w:val="nil"/>
              <w:bottom w:val="single" w:sz="8" w:space="0" w:color="000000"/>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CÓD. REGIÓN</w:t>
            </w:r>
          </w:p>
        </w:tc>
        <w:tc>
          <w:tcPr>
            <w:tcW w:w="1478" w:type="dxa"/>
            <w:tcBorders>
              <w:top w:val="single" w:sz="8" w:space="0" w:color="auto"/>
              <w:left w:val="nil"/>
              <w:bottom w:val="nil"/>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 xml:space="preserve">CÓD. </w:t>
            </w:r>
          </w:p>
        </w:tc>
        <w:tc>
          <w:tcPr>
            <w:tcW w:w="2096" w:type="dxa"/>
            <w:vMerge w:val="restart"/>
            <w:tcBorders>
              <w:top w:val="single" w:sz="8" w:space="0" w:color="auto"/>
              <w:left w:val="nil"/>
              <w:bottom w:val="single" w:sz="8" w:space="0" w:color="000000"/>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AGENCIAS</w:t>
            </w:r>
          </w:p>
        </w:tc>
        <w:tc>
          <w:tcPr>
            <w:tcW w:w="1493" w:type="dxa"/>
            <w:tcBorders>
              <w:top w:val="single" w:sz="8" w:space="0" w:color="auto"/>
              <w:left w:val="nil"/>
              <w:bottom w:val="nil"/>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NÚM. CUENTAS</w:t>
            </w:r>
          </w:p>
        </w:tc>
        <w:tc>
          <w:tcPr>
            <w:tcW w:w="1570" w:type="dxa"/>
            <w:vMerge w:val="restart"/>
            <w:tcBorders>
              <w:top w:val="single" w:sz="8" w:space="0" w:color="auto"/>
              <w:left w:val="nil"/>
              <w:bottom w:val="single" w:sz="8" w:space="0" w:color="000000"/>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NÚM. CUENTAS ACTIVAS CLIENTES</w:t>
            </w:r>
          </w:p>
        </w:tc>
      </w:tr>
      <w:tr w:rsidR="00D7112B" w:rsidRPr="002E3460" w:rsidTr="00D7112B">
        <w:trPr>
          <w:trHeight w:val="327"/>
          <w:jc w:val="center"/>
        </w:trPr>
        <w:tc>
          <w:tcPr>
            <w:tcW w:w="1292" w:type="dxa"/>
            <w:vMerge/>
            <w:tcBorders>
              <w:top w:val="single" w:sz="8" w:space="0" w:color="auto"/>
              <w:left w:val="nil"/>
              <w:bottom w:val="single" w:sz="8" w:space="0" w:color="000000"/>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p>
        </w:tc>
        <w:tc>
          <w:tcPr>
            <w:tcW w:w="1478" w:type="dxa"/>
            <w:tcBorders>
              <w:top w:val="nil"/>
              <w:left w:val="nil"/>
              <w:bottom w:val="single" w:sz="8" w:space="0" w:color="auto"/>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AGENCIA</w:t>
            </w:r>
          </w:p>
        </w:tc>
        <w:tc>
          <w:tcPr>
            <w:tcW w:w="2096" w:type="dxa"/>
            <w:vMerge/>
            <w:tcBorders>
              <w:top w:val="single" w:sz="8" w:space="0" w:color="auto"/>
              <w:left w:val="nil"/>
              <w:bottom w:val="single" w:sz="8" w:space="0" w:color="000000"/>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p>
        </w:tc>
        <w:tc>
          <w:tcPr>
            <w:tcW w:w="1493" w:type="dxa"/>
            <w:tcBorders>
              <w:top w:val="nil"/>
              <w:left w:val="nil"/>
              <w:bottom w:val="single" w:sz="8" w:space="0" w:color="auto"/>
              <w:right w:val="nil"/>
            </w:tcBorders>
            <w:shd w:val="clear" w:color="000000" w:fill="FFFFFF"/>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 xml:space="preserve"> ACTIVAS SOCIOS</w:t>
            </w:r>
          </w:p>
        </w:tc>
        <w:tc>
          <w:tcPr>
            <w:tcW w:w="1570" w:type="dxa"/>
            <w:vMerge/>
            <w:tcBorders>
              <w:top w:val="single" w:sz="8" w:space="0" w:color="auto"/>
              <w:left w:val="nil"/>
              <w:bottom w:val="single" w:sz="8" w:space="0" w:color="000000"/>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 </w:t>
            </w:r>
          </w:p>
        </w:tc>
        <w:tc>
          <w:tcPr>
            <w:tcW w:w="1478" w:type="dxa"/>
            <w:vMerge w:val="restart"/>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2096" w:type="dxa"/>
            <w:vMerge w:val="restart"/>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1</w:t>
            </w:r>
          </w:p>
        </w:tc>
        <w:tc>
          <w:tcPr>
            <w:tcW w:w="1493" w:type="dxa"/>
            <w:vMerge w:val="restart"/>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21.864</w:t>
            </w:r>
          </w:p>
        </w:tc>
        <w:tc>
          <w:tcPr>
            <w:tcW w:w="1570" w:type="dxa"/>
            <w:vMerge w:val="restart"/>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3.695</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vMerge/>
            <w:tcBorders>
              <w:top w:val="nil"/>
              <w:left w:val="nil"/>
              <w:bottom w:val="nil"/>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p>
        </w:tc>
        <w:tc>
          <w:tcPr>
            <w:tcW w:w="2096" w:type="dxa"/>
            <w:vMerge/>
            <w:tcBorders>
              <w:top w:val="nil"/>
              <w:left w:val="nil"/>
              <w:bottom w:val="nil"/>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p>
        </w:tc>
        <w:tc>
          <w:tcPr>
            <w:tcW w:w="1493" w:type="dxa"/>
            <w:vMerge/>
            <w:tcBorders>
              <w:top w:val="nil"/>
              <w:left w:val="nil"/>
              <w:bottom w:val="nil"/>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p>
        </w:tc>
        <w:tc>
          <w:tcPr>
            <w:tcW w:w="1570" w:type="dxa"/>
            <w:vMerge/>
            <w:tcBorders>
              <w:top w:val="nil"/>
              <w:left w:val="nil"/>
              <w:bottom w:val="nil"/>
              <w:right w:val="nil"/>
            </w:tcBorders>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9</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2</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8.789</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1.774</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19</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ind w:left="708" w:hanging="708"/>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3</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5.674</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809</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36</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4</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6.359</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1.248</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40</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5</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4.690</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1.223</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41</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6</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14.063</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3.313</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42</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7</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4.042</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1.946</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44</w:t>
            </w:r>
          </w:p>
        </w:tc>
        <w:tc>
          <w:tcPr>
            <w:tcW w:w="2096"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w:t>
            </w:r>
            <w:r w:rsidR="00707928">
              <w:rPr>
                <w:rFonts w:ascii="Times New Roman" w:eastAsia="Times New Roman" w:hAnsi="Times New Roman" w:cs="Times New Roman"/>
                <w:color w:val="000000"/>
                <w:sz w:val="24"/>
                <w:szCs w:val="24"/>
                <w:lang w:eastAsia="es-EC"/>
              </w:rPr>
              <w:t>ENCIA</w:t>
            </w:r>
            <w:r>
              <w:rPr>
                <w:rFonts w:ascii="Times New Roman" w:eastAsia="Times New Roman" w:hAnsi="Times New Roman" w:cs="Times New Roman"/>
                <w:color w:val="000000"/>
                <w:sz w:val="24"/>
                <w:szCs w:val="24"/>
                <w:lang w:eastAsia="es-EC"/>
              </w:rPr>
              <w:t>8</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1.862</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1.264</w:t>
            </w:r>
          </w:p>
        </w:tc>
      </w:tr>
      <w:tr w:rsidR="00D7112B" w:rsidRPr="002E3460" w:rsidTr="00D7112B">
        <w:trPr>
          <w:trHeight w:val="225"/>
          <w:jc w:val="center"/>
        </w:trPr>
        <w:tc>
          <w:tcPr>
            <w:tcW w:w="1292"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w:t>
            </w:r>
          </w:p>
        </w:tc>
        <w:tc>
          <w:tcPr>
            <w:tcW w:w="1478"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45</w:t>
            </w:r>
          </w:p>
        </w:tc>
        <w:tc>
          <w:tcPr>
            <w:tcW w:w="2096" w:type="dxa"/>
            <w:tcBorders>
              <w:top w:val="nil"/>
              <w:left w:val="nil"/>
              <w:bottom w:val="nil"/>
              <w:right w:val="nil"/>
            </w:tcBorders>
            <w:shd w:val="clear" w:color="000000" w:fill="FFFFFF"/>
            <w:noWrap/>
            <w:vAlign w:val="center"/>
            <w:hideMark/>
          </w:tcPr>
          <w:p w:rsidR="00D7112B" w:rsidRPr="002E3460" w:rsidRDefault="00707928" w:rsidP="00D04635">
            <w:pPr>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C"/>
              </w:rPr>
              <w:t>AGENCIA9</w:t>
            </w:r>
          </w:p>
        </w:tc>
        <w:tc>
          <w:tcPr>
            <w:tcW w:w="1493"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3.521</w:t>
            </w:r>
          </w:p>
        </w:tc>
        <w:tc>
          <w:tcPr>
            <w:tcW w:w="1570" w:type="dxa"/>
            <w:tcBorders>
              <w:top w:val="nil"/>
              <w:left w:val="nil"/>
              <w:bottom w:val="nil"/>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color w:val="000000"/>
                <w:sz w:val="24"/>
                <w:szCs w:val="24"/>
                <w:lang w:eastAsia="es-ES"/>
              </w:rPr>
            </w:pPr>
            <w:r w:rsidRPr="002E3460">
              <w:rPr>
                <w:rFonts w:ascii="Times New Roman" w:eastAsia="Times New Roman" w:hAnsi="Times New Roman" w:cs="Times New Roman"/>
                <w:color w:val="000000"/>
                <w:sz w:val="24"/>
                <w:szCs w:val="24"/>
                <w:lang w:eastAsia="es-EC"/>
              </w:rPr>
              <w:t>1.615</w:t>
            </w:r>
          </w:p>
        </w:tc>
      </w:tr>
      <w:tr w:rsidR="00D7112B" w:rsidRPr="002E3460" w:rsidTr="00D7112B">
        <w:trPr>
          <w:trHeight w:val="236"/>
          <w:jc w:val="center"/>
        </w:trPr>
        <w:tc>
          <w:tcPr>
            <w:tcW w:w="1292" w:type="dxa"/>
            <w:tcBorders>
              <w:top w:val="nil"/>
              <w:left w:val="nil"/>
              <w:bottom w:val="single" w:sz="8" w:space="0" w:color="auto"/>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 </w:t>
            </w:r>
          </w:p>
        </w:tc>
        <w:tc>
          <w:tcPr>
            <w:tcW w:w="1478" w:type="dxa"/>
            <w:tcBorders>
              <w:top w:val="nil"/>
              <w:left w:val="nil"/>
              <w:bottom w:val="single" w:sz="8" w:space="0" w:color="auto"/>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 </w:t>
            </w:r>
          </w:p>
        </w:tc>
        <w:tc>
          <w:tcPr>
            <w:tcW w:w="2096" w:type="dxa"/>
            <w:tcBorders>
              <w:top w:val="nil"/>
              <w:left w:val="nil"/>
              <w:bottom w:val="single" w:sz="8" w:space="0" w:color="auto"/>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TOTAL</w:t>
            </w:r>
          </w:p>
        </w:tc>
        <w:tc>
          <w:tcPr>
            <w:tcW w:w="1493" w:type="dxa"/>
            <w:tcBorders>
              <w:top w:val="nil"/>
              <w:left w:val="nil"/>
              <w:bottom w:val="single" w:sz="8" w:space="0" w:color="auto"/>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70.864</w:t>
            </w:r>
            <w:bookmarkStart w:id="1" w:name="_GoBack"/>
            <w:bookmarkEnd w:id="1"/>
          </w:p>
        </w:tc>
        <w:tc>
          <w:tcPr>
            <w:tcW w:w="1570" w:type="dxa"/>
            <w:tcBorders>
              <w:top w:val="nil"/>
              <w:left w:val="nil"/>
              <w:bottom w:val="single" w:sz="8" w:space="0" w:color="auto"/>
              <w:right w:val="nil"/>
            </w:tcBorders>
            <w:shd w:val="clear" w:color="000000" w:fill="FFFFFF"/>
            <w:noWrap/>
            <w:vAlign w:val="center"/>
            <w:hideMark/>
          </w:tcPr>
          <w:p w:rsidR="00D7112B" w:rsidRPr="002E3460" w:rsidRDefault="00D7112B" w:rsidP="00D04635">
            <w:pPr>
              <w:spacing w:after="0" w:line="240" w:lineRule="auto"/>
              <w:jc w:val="both"/>
              <w:rPr>
                <w:rFonts w:ascii="Times New Roman" w:eastAsia="Times New Roman" w:hAnsi="Times New Roman" w:cs="Times New Roman"/>
                <w:b/>
                <w:bCs/>
                <w:color w:val="000000"/>
                <w:sz w:val="24"/>
                <w:szCs w:val="24"/>
                <w:lang w:eastAsia="es-ES"/>
              </w:rPr>
            </w:pPr>
            <w:r w:rsidRPr="002E3460">
              <w:rPr>
                <w:rFonts w:ascii="Times New Roman" w:eastAsia="Times New Roman" w:hAnsi="Times New Roman" w:cs="Times New Roman"/>
                <w:b/>
                <w:bCs/>
                <w:color w:val="000000"/>
                <w:sz w:val="24"/>
                <w:szCs w:val="24"/>
                <w:lang w:eastAsia="es-EC"/>
              </w:rPr>
              <w:t>16.887</w:t>
            </w:r>
          </w:p>
        </w:tc>
      </w:tr>
    </w:tbl>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Pr="00D7112B" w:rsidRDefault="00D7112B" w:rsidP="00D04635">
      <w:pPr>
        <w:spacing w:after="0" w:line="360" w:lineRule="auto"/>
        <w:jc w:val="both"/>
        <w:rPr>
          <w:rFonts w:ascii="Times New Roman" w:hAnsi="Times New Roman" w:cs="Times New Roman"/>
          <w:sz w:val="24"/>
          <w:szCs w:val="24"/>
          <w:highlight w:val="yellow"/>
        </w:rPr>
      </w:pPr>
      <w:r w:rsidRPr="00D7112B">
        <w:rPr>
          <w:rFonts w:ascii="Times New Roman" w:hAnsi="Times New Roman" w:cs="Times New Roman"/>
          <w:sz w:val="24"/>
          <w:szCs w:val="24"/>
          <w:highlight w:val="yellow"/>
        </w:rPr>
        <w:t>Tabla II</w:t>
      </w:r>
    </w:p>
    <w:p w:rsidR="00D7112B" w:rsidRPr="002E3460" w:rsidRDefault="00D7112B" w:rsidP="00D04635">
      <w:pPr>
        <w:spacing w:after="0" w:line="360" w:lineRule="auto"/>
        <w:jc w:val="both"/>
        <w:rPr>
          <w:rFonts w:ascii="Times New Roman" w:eastAsiaTheme="minorEastAsia" w:hAnsi="Times New Roman" w:cs="Times New Roman"/>
          <w:b/>
          <w:color w:val="000000"/>
          <w:sz w:val="24"/>
          <w:szCs w:val="24"/>
        </w:rPr>
      </w:pPr>
      <w:r w:rsidRPr="00D7112B">
        <w:rPr>
          <w:rFonts w:ascii="Times New Roman" w:hAnsi="Times New Roman" w:cs="Times New Roman"/>
          <w:i/>
          <w:sz w:val="24"/>
          <w:szCs w:val="24"/>
          <w:highlight w:val="yellow"/>
        </w:rPr>
        <w:t>Variables para el cálculo del tamaño de la muestra</w:t>
      </w:r>
    </w:p>
    <w:tbl>
      <w:tblPr>
        <w:tblW w:w="3035" w:type="pct"/>
        <w:jc w:val="center"/>
        <w:tblCellMar>
          <w:left w:w="70" w:type="dxa"/>
          <w:right w:w="70" w:type="dxa"/>
        </w:tblCellMar>
        <w:tblLook w:val="04A0" w:firstRow="1" w:lastRow="0" w:firstColumn="1" w:lastColumn="0" w:noHBand="0" w:noVBand="1"/>
      </w:tblPr>
      <w:tblGrid>
        <w:gridCol w:w="4173"/>
        <w:gridCol w:w="1192"/>
      </w:tblGrid>
      <w:tr w:rsidR="00D7112B" w:rsidRPr="002E3460" w:rsidTr="008B083C">
        <w:trPr>
          <w:trHeight w:val="252"/>
          <w:jc w:val="center"/>
        </w:trPr>
        <w:tc>
          <w:tcPr>
            <w:tcW w:w="3889" w:type="pct"/>
            <w:tcBorders>
              <w:top w:val="single" w:sz="4" w:space="0" w:color="auto"/>
              <w:left w:val="nil"/>
              <w:bottom w:val="single" w:sz="4" w:space="0" w:color="auto"/>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b/>
                <w:bCs/>
                <w:color w:val="000000"/>
                <w:sz w:val="24"/>
                <w:szCs w:val="24"/>
                <w:lang w:eastAsia="es-EC"/>
              </w:rPr>
            </w:pPr>
            <w:r w:rsidRPr="002E3460">
              <w:rPr>
                <w:rFonts w:ascii="Times New Roman" w:hAnsi="Times New Roman" w:cs="Times New Roman"/>
                <w:b/>
                <w:bCs/>
                <w:color w:val="000000"/>
                <w:sz w:val="24"/>
                <w:szCs w:val="24"/>
                <w:lang w:eastAsia="es-EC"/>
              </w:rPr>
              <w:t>Variable</w:t>
            </w:r>
          </w:p>
        </w:tc>
        <w:tc>
          <w:tcPr>
            <w:tcW w:w="1111" w:type="pct"/>
            <w:tcBorders>
              <w:top w:val="single" w:sz="4" w:space="0" w:color="auto"/>
              <w:left w:val="nil"/>
              <w:bottom w:val="single" w:sz="4" w:space="0" w:color="auto"/>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b/>
                <w:bCs/>
                <w:color w:val="000000"/>
                <w:sz w:val="24"/>
                <w:szCs w:val="24"/>
                <w:lang w:eastAsia="es-EC"/>
              </w:rPr>
            </w:pPr>
            <w:r w:rsidRPr="002E3460">
              <w:rPr>
                <w:rFonts w:ascii="Times New Roman" w:hAnsi="Times New Roman" w:cs="Times New Roman"/>
                <w:b/>
                <w:bCs/>
                <w:color w:val="000000"/>
                <w:sz w:val="24"/>
                <w:szCs w:val="24"/>
                <w:lang w:eastAsia="es-EC"/>
              </w:rPr>
              <w:t>Valor</w:t>
            </w:r>
          </w:p>
        </w:tc>
      </w:tr>
      <w:tr w:rsidR="00D7112B" w:rsidRPr="002E3460" w:rsidTr="008B083C">
        <w:trPr>
          <w:trHeight w:val="252"/>
          <w:jc w:val="center"/>
        </w:trPr>
        <w:tc>
          <w:tcPr>
            <w:tcW w:w="3889"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Tamaño de la población N (socios)</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87.751</w:t>
            </w:r>
          </w:p>
        </w:tc>
      </w:tr>
      <w:tr w:rsidR="00D7112B" w:rsidRPr="002E3460" w:rsidTr="008B083C">
        <w:trPr>
          <w:trHeight w:val="252"/>
          <w:jc w:val="center"/>
        </w:trPr>
        <w:tc>
          <w:tcPr>
            <w:tcW w:w="3889"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Probabilidad que el evento p ocurra</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0.5</w:t>
            </w:r>
          </w:p>
        </w:tc>
      </w:tr>
      <w:tr w:rsidR="00D7112B" w:rsidRPr="002E3460" w:rsidTr="008B083C">
        <w:trPr>
          <w:trHeight w:val="202"/>
          <w:jc w:val="center"/>
        </w:trPr>
        <w:tc>
          <w:tcPr>
            <w:tcW w:w="3889"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Probabilidad que el evento q no ocurra</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0.5</w:t>
            </w:r>
          </w:p>
        </w:tc>
      </w:tr>
      <w:tr w:rsidR="00D7112B" w:rsidRPr="002E3460" w:rsidTr="008B083C">
        <w:trPr>
          <w:trHeight w:val="252"/>
          <w:jc w:val="center"/>
        </w:trPr>
        <w:tc>
          <w:tcPr>
            <w:tcW w:w="3889"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Nivel de confianza (alfa)</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95%</w:t>
            </w:r>
          </w:p>
        </w:tc>
      </w:tr>
      <w:tr w:rsidR="00D7112B" w:rsidRPr="002E3460" w:rsidTr="008B083C">
        <w:trPr>
          <w:trHeight w:val="240"/>
          <w:jc w:val="center"/>
        </w:trPr>
        <w:tc>
          <w:tcPr>
            <w:tcW w:w="3889" w:type="pct"/>
            <w:tcBorders>
              <w:top w:val="nil"/>
              <w:left w:val="nil"/>
              <w:bottom w:val="nil"/>
              <w:right w:val="nil"/>
            </w:tcBorders>
            <w:shd w:val="clear" w:color="auto" w:fill="auto"/>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Valor crítico correspondiente al nivel de confianza elegido (Z)</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1.96</w:t>
            </w:r>
          </w:p>
        </w:tc>
      </w:tr>
      <w:tr w:rsidR="00D7112B" w:rsidRPr="002E3460" w:rsidTr="008B083C">
        <w:trPr>
          <w:trHeight w:val="252"/>
          <w:jc w:val="center"/>
        </w:trPr>
        <w:tc>
          <w:tcPr>
            <w:tcW w:w="3889"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Margen de error permitido [E]</w:t>
            </w:r>
          </w:p>
        </w:tc>
        <w:tc>
          <w:tcPr>
            <w:tcW w:w="1111" w:type="pct"/>
            <w:tcBorders>
              <w:top w:val="nil"/>
              <w:left w:val="nil"/>
              <w:bottom w:val="nil"/>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color w:val="000000"/>
                <w:sz w:val="24"/>
                <w:szCs w:val="24"/>
                <w:lang w:eastAsia="es-EC"/>
              </w:rPr>
            </w:pPr>
            <w:r w:rsidRPr="002E3460">
              <w:rPr>
                <w:rFonts w:ascii="Times New Roman" w:hAnsi="Times New Roman" w:cs="Times New Roman"/>
                <w:color w:val="000000"/>
                <w:sz w:val="24"/>
                <w:szCs w:val="24"/>
                <w:lang w:eastAsia="es-EC"/>
              </w:rPr>
              <w:t>5%</w:t>
            </w:r>
          </w:p>
        </w:tc>
      </w:tr>
      <w:tr w:rsidR="00D7112B" w:rsidRPr="002E3460" w:rsidTr="008B083C">
        <w:trPr>
          <w:trHeight w:val="252"/>
          <w:jc w:val="center"/>
        </w:trPr>
        <w:tc>
          <w:tcPr>
            <w:tcW w:w="3889" w:type="pct"/>
            <w:tcBorders>
              <w:top w:val="nil"/>
              <w:left w:val="nil"/>
              <w:bottom w:val="single" w:sz="4" w:space="0" w:color="auto"/>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b/>
                <w:bCs/>
                <w:color w:val="000000"/>
                <w:sz w:val="24"/>
                <w:szCs w:val="24"/>
                <w:lang w:eastAsia="es-EC"/>
              </w:rPr>
            </w:pPr>
            <w:r w:rsidRPr="002E3460">
              <w:rPr>
                <w:rFonts w:ascii="Times New Roman" w:hAnsi="Times New Roman" w:cs="Times New Roman"/>
                <w:b/>
                <w:bCs/>
                <w:color w:val="000000"/>
                <w:sz w:val="24"/>
                <w:szCs w:val="24"/>
                <w:lang w:eastAsia="es-EC"/>
              </w:rPr>
              <w:t>Tamaño de la muestra (n)</w:t>
            </w:r>
          </w:p>
        </w:tc>
        <w:tc>
          <w:tcPr>
            <w:tcW w:w="1111" w:type="pct"/>
            <w:tcBorders>
              <w:top w:val="nil"/>
              <w:left w:val="nil"/>
              <w:bottom w:val="single" w:sz="4" w:space="0" w:color="auto"/>
              <w:right w:val="nil"/>
            </w:tcBorders>
            <w:shd w:val="clear" w:color="auto" w:fill="auto"/>
            <w:noWrap/>
            <w:vAlign w:val="center"/>
            <w:hideMark/>
          </w:tcPr>
          <w:p w:rsidR="00D7112B" w:rsidRPr="002E3460" w:rsidRDefault="00D7112B" w:rsidP="00D04635">
            <w:pPr>
              <w:spacing w:line="240" w:lineRule="auto"/>
              <w:jc w:val="both"/>
              <w:rPr>
                <w:rFonts w:ascii="Times New Roman" w:hAnsi="Times New Roman" w:cs="Times New Roman"/>
                <w:b/>
                <w:bCs/>
                <w:color w:val="000000"/>
                <w:sz w:val="24"/>
                <w:szCs w:val="24"/>
                <w:lang w:eastAsia="es-EC"/>
              </w:rPr>
            </w:pPr>
            <w:r w:rsidRPr="002E3460">
              <w:rPr>
                <w:rFonts w:ascii="Times New Roman" w:hAnsi="Times New Roman" w:cs="Times New Roman"/>
                <w:b/>
                <w:bCs/>
                <w:color w:val="000000"/>
                <w:sz w:val="24"/>
                <w:szCs w:val="24"/>
                <w:lang w:eastAsia="es-EC"/>
              </w:rPr>
              <w:t>400</w:t>
            </w:r>
          </w:p>
        </w:tc>
      </w:tr>
    </w:tbl>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Default="00D7112B" w:rsidP="00D04635">
      <w:pPr>
        <w:spacing w:line="360" w:lineRule="auto"/>
        <w:jc w:val="both"/>
        <w:rPr>
          <w:rFonts w:ascii="Times New Roman" w:hAnsi="Times New Roman" w:cs="Times New Roman"/>
          <w:sz w:val="24"/>
          <w:szCs w:val="24"/>
        </w:rPr>
      </w:pPr>
    </w:p>
    <w:p w:rsidR="00D7112B" w:rsidRPr="00D7112B" w:rsidRDefault="00D7112B" w:rsidP="00D04635">
      <w:pPr>
        <w:spacing w:line="360" w:lineRule="auto"/>
        <w:jc w:val="both"/>
        <w:rPr>
          <w:rFonts w:ascii="Times New Roman" w:hAnsi="Times New Roman" w:cs="Times New Roman"/>
          <w:sz w:val="24"/>
          <w:szCs w:val="24"/>
        </w:rPr>
      </w:pPr>
    </w:p>
    <w:sectPr w:rsidR="00D7112B" w:rsidRPr="00D711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8D3"/>
    <w:multiLevelType w:val="hybridMultilevel"/>
    <w:tmpl w:val="22101A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875693D"/>
    <w:multiLevelType w:val="hybridMultilevel"/>
    <w:tmpl w:val="1A8854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B9478D3"/>
    <w:multiLevelType w:val="hybridMultilevel"/>
    <w:tmpl w:val="144AAB0E"/>
    <w:lvl w:ilvl="0" w:tplc="1E1693F2">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3DAE03FB"/>
    <w:multiLevelType w:val="hybridMultilevel"/>
    <w:tmpl w:val="B8EE3A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A9A186E"/>
    <w:multiLevelType w:val="hybridMultilevel"/>
    <w:tmpl w:val="EB2ED23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6DBE5792"/>
    <w:multiLevelType w:val="hybridMultilevel"/>
    <w:tmpl w:val="9D9E5D68"/>
    <w:lvl w:ilvl="0" w:tplc="6B006C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F635A8"/>
    <w:multiLevelType w:val="hybridMultilevel"/>
    <w:tmpl w:val="4D866FA4"/>
    <w:lvl w:ilvl="0" w:tplc="ED825A1A">
      <w:start w:val="1"/>
      <w:numFmt w:val="upp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C3"/>
    <w:rsid w:val="00037B8E"/>
    <w:rsid w:val="000D3CAA"/>
    <w:rsid w:val="000E05C7"/>
    <w:rsid w:val="000E3BBE"/>
    <w:rsid w:val="000F56ED"/>
    <w:rsid w:val="0010774D"/>
    <w:rsid w:val="0014327A"/>
    <w:rsid w:val="00167483"/>
    <w:rsid w:val="00171B48"/>
    <w:rsid w:val="00173775"/>
    <w:rsid w:val="001768F0"/>
    <w:rsid w:val="00192BCF"/>
    <w:rsid w:val="001B03DD"/>
    <w:rsid w:val="001B3A43"/>
    <w:rsid w:val="001D2676"/>
    <w:rsid w:val="001E5CF5"/>
    <w:rsid w:val="00226E0E"/>
    <w:rsid w:val="00234DC3"/>
    <w:rsid w:val="0025240F"/>
    <w:rsid w:val="00273212"/>
    <w:rsid w:val="002B07B2"/>
    <w:rsid w:val="002C2D94"/>
    <w:rsid w:val="002C6CFE"/>
    <w:rsid w:val="002D53AA"/>
    <w:rsid w:val="002E3460"/>
    <w:rsid w:val="0030004C"/>
    <w:rsid w:val="00300D3F"/>
    <w:rsid w:val="00303426"/>
    <w:rsid w:val="003072CE"/>
    <w:rsid w:val="00336BB6"/>
    <w:rsid w:val="0037150A"/>
    <w:rsid w:val="00397FEB"/>
    <w:rsid w:val="003A14CC"/>
    <w:rsid w:val="003E2D42"/>
    <w:rsid w:val="003F630D"/>
    <w:rsid w:val="00411783"/>
    <w:rsid w:val="00421B99"/>
    <w:rsid w:val="004279DE"/>
    <w:rsid w:val="0045753C"/>
    <w:rsid w:val="004778AD"/>
    <w:rsid w:val="004A14E2"/>
    <w:rsid w:val="004F29EB"/>
    <w:rsid w:val="004F73D5"/>
    <w:rsid w:val="00551056"/>
    <w:rsid w:val="00556842"/>
    <w:rsid w:val="005653B7"/>
    <w:rsid w:val="005937CE"/>
    <w:rsid w:val="005B762C"/>
    <w:rsid w:val="00694E3E"/>
    <w:rsid w:val="006A0151"/>
    <w:rsid w:val="006A3420"/>
    <w:rsid w:val="006B456B"/>
    <w:rsid w:val="006C66CA"/>
    <w:rsid w:val="00707928"/>
    <w:rsid w:val="0072318A"/>
    <w:rsid w:val="00735A61"/>
    <w:rsid w:val="007873AF"/>
    <w:rsid w:val="007933FC"/>
    <w:rsid w:val="007D0FE8"/>
    <w:rsid w:val="007D3DEB"/>
    <w:rsid w:val="007F1A50"/>
    <w:rsid w:val="00802161"/>
    <w:rsid w:val="00815C40"/>
    <w:rsid w:val="0082747C"/>
    <w:rsid w:val="008303AF"/>
    <w:rsid w:val="00857EEB"/>
    <w:rsid w:val="00893B38"/>
    <w:rsid w:val="008B1F8D"/>
    <w:rsid w:val="008D128D"/>
    <w:rsid w:val="008E6A19"/>
    <w:rsid w:val="00933E28"/>
    <w:rsid w:val="0095422F"/>
    <w:rsid w:val="00954FA0"/>
    <w:rsid w:val="009A4483"/>
    <w:rsid w:val="009C59D9"/>
    <w:rsid w:val="00A2153A"/>
    <w:rsid w:val="00A5712D"/>
    <w:rsid w:val="00A82F67"/>
    <w:rsid w:val="00A84D51"/>
    <w:rsid w:val="00AA3C0A"/>
    <w:rsid w:val="00AE31BF"/>
    <w:rsid w:val="00AF3924"/>
    <w:rsid w:val="00B136EF"/>
    <w:rsid w:val="00B30CD2"/>
    <w:rsid w:val="00B42D22"/>
    <w:rsid w:val="00B55D0C"/>
    <w:rsid w:val="00BE6228"/>
    <w:rsid w:val="00C13DCD"/>
    <w:rsid w:val="00C17696"/>
    <w:rsid w:val="00C23389"/>
    <w:rsid w:val="00C61198"/>
    <w:rsid w:val="00C619D2"/>
    <w:rsid w:val="00C83262"/>
    <w:rsid w:val="00CF6B31"/>
    <w:rsid w:val="00D04635"/>
    <w:rsid w:val="00D432CF"/>
    <w:rsid w:val="00D55986"/>
    <w:rsid w:val="00D6208D"/>
    <w:rsid w:val="00D63090"/>
    <w:rsid w:val="00D7112B"/>
    <w:rsid w:val="00DA1ADE"/>
    <w:rsid w:val="00DB429F"/>
    <w:rsid w:val="00DC1E50"/>
    <w:rsid w:val="00E13F79"/>
    <w:rsid w:val="00E32966"/>
    <w:rsid w:val="00E34C59"/>
    <w:rsid w:val="00E36AC0"/>
    <w:rsid w:val="00E73815"/>
    <w:rsid w:val="00E7718B"/>
    <w:rsid w:val="00E8756F"/>
    <w:rsid w:val="00ED0C50"/>
    <w:rsid w:val="00ED3FEB"/>
    <w:rsid w:val="00F51C42"/>
    <w:rsid w:val="00FD67E3"/>
    <w:rsid w:val="00FE5ED9"/>
    <w:rsid w:val="00FF61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7F33D-8379-4807-A87E-C79D6911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783"/>
    <w:pPr>
      <w:ind w:left="720"/>
      <w:contextualSpacing/>
    </w:pPr>
  </w:style>
  <w:style w:type="table" w:styleId="Tablaconcuadrcula">
    <w:name w:val="Table Grid"/>
    <w:basedOn w:val="Tablanormal"/>
    <w:uiPriority w:val="39"/>
    <w:rsid w:val="002B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A14CC"/>
  </w:style>
  <w:style w:type="paragraph" w:styleId="Descripcin">
    <w:name w:val="caption"/>
    <w:basedOn w:val="Normal"/>
    <w:next w:val="Normal"/>
    <w:unhideWhenUsed/>
    <w:qFormat/>
    <w:rsid w:val="00FD67E3"/>
    <w:pPr>
      <w:spacing w:after="200" w:line="240" w:lineRule="auto"/>
      <w:jc w:val="both"/>
    </w:pPr>
    <w:rPr>
      <w:rFonts w:ascii="Times New Roman" w:eastAsia="Times New Roman" w:hAnsi="Times New Roman" w:cs="Times New Roman"/>
      <w:i/>
      <w:iCs/>
      <w:color w:val="44546A" w:themeColor="text2"/>
      <w:sz w:val="18"/>
      <w:szCs w:val="18"/>
      <w:lang w:eastAsia="pt-BR"/>
    </w:rPr>
  </w:style>
  <w:style w:type="character" w:styleId="Hipervnculo">
    <w:name w:val="Hyperlink"/>
    <w:basedOn w:val="Fuentedeprrafopredeter"/>
    <w:uiPriority w:val="99"/>
    <w:unhideWhenUsed/>
    <w:rsid w:val="006B456B"/>
    <w:rPr>
      <w:color w:val="0563C1" w:themeColor="hyperlink"/>
      <w:u w:val="single"/>
    </w:rPr>
  </w:style>
  <w:style w:type="paragraph" w:customStyle="1" w:styleId="Pa21">
    <w:name w:val="Pa21"/>
    <w:basedOn w:val="Normal"/>
    <w:next w:val="Normal"/>
    <w:uiPriority w:val="99"/>
    <w:rsid w:val="006B456B"/>
    <w:pPr>
      <w:autoSpaceDE w:val="0"/>
      <w:autoSpaceDN w:val="0"/>
      <w:adjustRightInd w:val="0"/>
      <w:spacing w:after="0" w:line="221" w:lineRule="atLeast"/>
    </w:pPr>
    <w:rPr>
      <w:rFonts w:ascii="Trebuchet MS" w:hAnsi="Trebuchet MS"/>
      <w:sz w:val="24"/>
      <w:szCs w:val="24"/>
    </w:rPr>
  </w:style>
  <w:style w:type="character" w:customStyle="1" w:styleId="A9">
    <w:name w:val="A9"/>
    <w:uiPriority w:val="99"/>
    <w:rsid w:val="006B456B"/>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ttepantoja1980@gmail.com" TargetMode="External"/><Relationship Id="rId3" Type="http://schemas.openxmlformats.org/officeDocument/2006/relationships/styles" Target="styles.xml"/><Relationship Id="rId7" Type="http://schemas.openxmlformats.org/officeDocument/2006/relationships/hyperlink" Target="mailto:xavier.ona@epn.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cajasg@ups.edu.e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SEP14</b:Tag>
    <b:SourceType>Report</b:SourceType>
    <b:Guid>{3C529878-1BA5-48E1-A3AF-BC580DA3BCBC}</b:Guid>
    <b:Title>Ley Orgánica de Economía Popular y Solidaria. Superintendencia de Economía Popular y Solidaria.</b:Title>
    <b:Year>2011</b:Year>
    <b:City>Quito</b:City>
    <b:URL>http://www.seps.gob.ec/c/document_library/get_file?uuid=d5176e77-0bd6-44e0-ba4f-aca5694cf172&amp;groupId=613016</b:URL>
    <b:Author>
      <b:Author>
        <b:Corporate>LOEPS</b:Corporate>
      </b:Author>
    </b:Author>
    <b:YearAccessed>2014</b:YearAccessed>
    <b:MonthAccessed>noviembre</b:MonthAccessed>
    <b:DayAccessed>10</b:DayAccessed>
    <b:RefOrder>29</b:RefOrder>
  </b:Source>
  <b:Source>
    <b:Tag>ECU12</b:Tag>
    <b:SourceType>Report</b:SourceType>
    <b:Guid>{5AD30C0D-38BD-4760-A482-E0A22A806EA7}</b:Guid>
    <b:Title>ECUADOR: Economía y Finanzas Populares y Solidarias, para el Buen Vivir. Programa Nacional de Finanzas Populares, Emprendimiento y Economía Solidaria</b:Title>
    <b:Year>2012</b:Year>
    <b:YearAccessed>2014</b:YearAccessed>
    <b:MonthAccessed>noviembre</b:MonthAccessed>
    <b:DayAccessed>28</b:DayAccessed>
    <b:URL>http://www.finanzaspopulares.gob.ec/wp-content/uploads/downloads/2014/07/Ecuador-Economia-y-Finanzas-Populares-y-Solidarias.pdf</b:URL>
    <b:Author>
      <b:Author>
        <b:Corporate>CONAFIPS</b:Corporate>
      </b:Author>
    </b:Author>
    <b:RefOrder>32</b:RefOrder>
  </b:Source>
</b:Sources>
</file>

<file path=customXml/itemProps1.xml><?xml version="1.0" encoding="utf-8"?>
<ds:datastoreItem xmlns:ds="http://schemas.openxmlformats.org/officeDocument/2006/customXml" ds:itemID="{93784876-9BEC-4C15-827A-E6787919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3924</Words>
  <Characters>21587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dc:creator>
  <cp:keywords/>
  <dc:description/>
  <cp:lastModifiedBy>COMPAQ</cp:lastModifiedBy>
  <cp:revision>2</cp:revision>
  <dcterms:created xsi:type="dcterms:W3CDTF">2016-02-29T19:46:00Z</dcterms:created>
  <dcterms:modified xsi:type="dcterms:W3CDTF">2016-02-29T19:46:00Z</dcterms:modified>
</cp:coreProperties>
</file>